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943B8">
      <w:pPr>
        <w:snapToGrid w:val="0"/>
        <w:ind w:firstLine="0" w:firstLineChars="0"/>
        <w:jc w:val="center"/>
        <w:rPr>
          <w:rFonts w:ascii="方正小标宋简体" w:hAnsi="仿宋_GB2312" w:eastAsia="方正小标宋简体" w:cs="仿宋_GB2312"/>
          <w:color w:val="000000"/>
          <w:sz w:val="44"/>
          <w:szCs w:val="32"/>
        </w:rPr>
      </w:pPr>
      <w:r>
        <w:rPr>
          <w:rFonts w:hint="eastAsia" w:ascii="方正小标宋简体" w:hAnsi="仿宋_GB2312" w:eastAsia="方正小标宋简体" w:cs="仿宋_GB2312"/>
          <w:color w:val="000000"/>
          <w:sz w:val="44"/>
          <w:szCs w:val="32"/>
        </w:rPr>
        <w:t>团体标准《榴莲中碱性嫩黄O的测定  液相色谱-串联质谱法》（征求意见稿）编制说明</w:t>
      </w:r>
    </w:p>
    <w:p w14:paraId="67D354C0">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3839A285">
      <w:pPr>
        <w:ind w:firstLine="640"/>
        <w:rPr>
          <w:rFonts w:ascii="仿宋_GB2312" w:hAnsi="仿宋_GB2312" w:cs="仿宋_GB2312"/>
          <w:szCs w:val="28"/>
        </w:rPr>
      </w:pPr>
      <w:r>
        <w:rPr>
          <w:rFonts w:hint="eastAsia" w:ascii="仿宋_GB2312" w:hAnsi="仿宋_GB2312" w:cs="仿宋_GB2312"/>
          <w:szCs w:val="28"/>
        </w:rPr>
        <w:t>根据《广西标准化协会关于下达2025年第九批团体标准制修订项目计划的通知》（桂标协〔2025〕70号）文件精神，由中国检验认证集团广西有限公司提出，中国检验认证集团广西有限公司、中国检验认证集团越南有限公司、南宁海关技术中心、广西中检检测技术服务有限公司、广西大学轻工与食品工程学院、广西环保产业发展研究院有限公司、东兴海关综合技术服务中心、防城港检验检测中心、钦州市检验检测中心、凭祥海关综合技术服务中心、广西标准化协会等单位共同起草的团体标准《榴莲中碱性嫩黄的测定 液相色谱-串联质谱法》（项目编号：2025-0905），已获立项。</w:t>
      </w:r>
    </w:p>
    <w:p w14:paraId="038E9770">
      <w:pPr>
        <w:ind w:firstLine="640"/>
        <w:rPr>
          <w:rFonts w:ascii="仿宋_GB2312" w:hAnsi="仿宋_GB2312" w:cs="仿宋_GB2312"/>
          <w:szCs w:val="28"/>
        </w:rPr>
      </w:pPr>
      <w:r>
        <w:rPr>
          <w:rFonts w:hint="eastAsia" w:ascii="仿宋_GB2312" w:hAnsi="仿宋_GB2312" w:cs="仿宋_GB2312"/>
          <w:szCs w:val="28"/>
        </w:rPr>
        <w:t>为高质量编制团体标准《榴莲中碱性嫩黄O的测定  液相色谱-串联质谱法》，由起草单位成立标准编制工作组并进行如下分工：</w:t>
      </w:r>
    </w:p>
    <w:tbl>
      <w:tblPr>
        <w:tblStyle w:val="7"/>
        <w:tblW w:w="4996" w:type="pct"/>
        <w:jc w:val="center"/>
        <w:tblLayout w:type="autofit"/>
        <w:tblCellMar>
          <w:top w:w="0" w:type="dxa"/>
          <w:left w:w="108" w:type="dxa"/>
          <w:bottom w:w="0" w:type="dxa"/>
          <w:right w:w="108" w:type="dxa"/>
        </w:tblCellMar>
      </w:tblPr>
      <w:tblGrid>
        <w:gridCol w:w="1007"/>
        <w:gridCol w:w="1522"/>
        <w:gridCol w:w="1489"/>
        <w:gridCol w:w="2591"/>
        <w:gridCol w:w="2558"/>
      </w:tblGrid>
      <w:tr w14:paraId="0C753DF4">
        <w:tblPrEx>
          <w:tblCellMar>
            <w:top w:w="0" w:type="dxa"/>
            <w:left w:w="108" w:type="dxa"/>
            <w:bottom w:w="0" w:type="dxa"/>
            <w:right w:w="108" w:type="dxa"/>
          </w:tblCellMar>
        </w:tblPrEx>
        <w:trPr>
          <w:cantSplit/>
          <w:trHeight w:val="576" w:hRule="atLeast"/>
          <w:jc w:val="center"/>
        </w:trPr>
        <w:tc>
          <w:tcPr>
            <w:tcW w:w="549" w:type="pct"/>
            <w:tcBorders>
              <w:top w:val="single" w:color="auto" w:sz="4" w:space="0"/>
              <w:left w:val="single" w:color="auto" w:sz="4" w:space="0"/>
              <w:bottom w:val="single" w:color="auto" w:sz="4" w:space="0"/>
              <w:right w:val="single" w:color="auto" w:sz="4" w:space="0"/>
            </w:tcBorders>
            <w:vAlign w:val="center"/>
          </w:tcPr>
          <w:p w14:paraId="297421E6">
            <w:pPr>
              <w:keepNext w:val="0"/>
              <w:keepLines w:val="0"/>
              <w:suppressLineNumbers w:val="0"/>
              <w:spacing w:before="0" w:beforeAutospacing="0" w:after="0" w:afterAutospacing="0"/>
              <w:ind w:left="0" w:right="0" w:firstLine="0" w:firstLineChars="0"/>
              <w:jc w:val="center"/>
              <w:rPr>
                <w:rFonts w:hint="default" w:ascii="仿宋_GB2312" w:hAnsi="仿宋_GB2312" w:cs="仿宋_GB2312"/>
                <w:b/>
                <w:bCs/>
                <w:sz w:val="24"/>
              </w:rPr>
            </w:pPr>
            <w:r>
              <w:rPr>
                <w:rFonts w:hint="eastAsia" w:ascii="仿宋_GB2312" w:hAnsi="仿宋_GB2312" w:cs="仿宋_GB2312"/>
                <w:b/>
                <w:bCs/>
                <w:sz w:val="24"/>
              </w:rPr>
              <w:t>姓  名</w:t>
            </w:r>
          </w:p>
        </w:tc>
        <w:tc>
          <w:tcPr>
            <w:tcW w:w="830" w:type="pct"/>
            <w:tcBorders>
              <w:top w:val="single" w:color="auto" w:sz="4" w:space="0"/>
              <w:left w:val="single" w:color="auto" w:sz="4" w:space="0"/>
              <w:bottom w:val="single" w:color="auto" w:sz="4" w:space="0"/>
              <w:right w:val="single" w:color="auto" w:sz="4" w:space="0"/>
            </w:tcBorders>
            <w:vAlign w:val="center"/>
          </w:tcPr>
          <w:p w14:paraId="5356CE44">
            <w:pPr>
              <w:keepNext w:val="0"/>
              <w:keepLines w:val="0"/>
              <w:suppressLineNumbers w:val="0"/>
              <w:spacing w:before="0" w:beforeAutospacing="0" w:after="0" w:afterAutospacing="0"/>
              <w:ind w:left="0" w:right="0" w:firstLine="0" w:firstLineChars="0"/>
              <w:jc w:val="center"/>
              <w:rPr>
                <w:rFonts w:hint="default" w:ascii="仿宋_GB2312" w:hAnsi="仿宋_GB2312" w:cs="仿宋_GB2312"/>
                <w:b/>
                <w:bCs/>
                <w:sz w:val="24"/>
              </w:rPr>
            </w:pPr>
            <w:r>
              <w:rPr>
                <w:rFonts w:hint="eastAsia" w:ascii="仿宋_GB2312" w:hAnsi="仿宋_GB2312" w:cs="仿宋_GB2312"/>
                <w:b/>
                <w:bCs/>
                <w:sz w:val="24"/>
              </w:rPr>
              <w:t>职称/职位</w:t>
            </w:r>
          </w:p>
        </w:tc>
        <w:tc>
          <w:tcPr>
            <w:tcW w:w="812" w:type="pct"/>
            <w:tcBorders>
              <w:top w:val="single" w:color="auto" w:sz="4" w:space="0"/>
              <w:left w:val="single" w:color="auto" w:sz="4" w:space="0"/>
              <w:bottom w:val="single" w:color="auto" w:sz="4" w:space="0"/>
              <w:right w:val="single" w:color="auto" w:sz="4" w:space="0"/>
            </w:tcBorders>
            <w:vAlign w:val="center"/>
          </w:tcPr>
          <w:p w14:paraId="169ED42A">
            <w:pPr>
              <w:keepNext w:val="0"/>
              <w:keepLines w:val="0"/>
              <w:suppressLineNumbers w:val="0"/>
              <w:spacing w:before="0" w:beforeAutospacing="0" w:after="0" w:afterAutospacing="0"/>
              <w:ind w:left="0" w:right="0" w:firstLine="0" w:firstLineChars="0"/>
              <w:jc w:val="center"/>
              <w:rPr>
                <w:rFonts w:hint="default" w:ascii="仿宋_GB2312" w:hAnsi="仿宋_GB2312" w:cs="仿宋_GB2312"/>
                <w:b/>
                <w:bCs/>
                <w:sz w:val="24"/>
              </w:rPr>
            </w:pPr>
            <w:r>
              <w:rPr>
                <w:rFonts w:hint="eastAsia" w:ascii="仿宋_GB2312" w:hAnsi="仿宋_GB2312" w:cs="仿宋_GB2312"/>
                <w:b/>
                <w:bCs/>
                <w:sz w:val="24"/>
              </w:rPr>
              <w:t>从事专业</w:t>
            </w:r>
          </w:p>
        </w:tc>
        <w:tc>
          <w:tcPr>
            <w:tcW w:w="1413" w:type="pct"/>
            <w:tcBorders>
              <w:top w:val="single" w:color="auto" w:sz="4" w:space="0"/>
              <w:left w:val="single" w:color="auto" w:sz="4" w:space="0"/>
              <w:bottom w:val="single" w:color="auto" w:sz="4" w:space="0"/>
              <w:right w:val="single" w:color="auto" w:sz="4" w:space="0"/>
            </w:tcBorders>
            <w:vAlign w:val="center"/>
          </w:tcPr>
          <w:p w14:paraId="3271C850">
            <w:pPr>
              <w:keepNext w:val="0"/>
              <w:keepLines w:val="0"/>
              <w:suppressLineNumbers w:val="0"/>
              <w:spacing w:before="0" w:beforeAutospacing="0" w:after="0" w:afterAutospacing="0"/>
              <w:ind w:left="0" w:right="0" w:firstLine="0" w:firstLineChars="0"/>
              <w:jc w:val="center"/>
              <w:rPr>
                <w:rFonts w:hint="default" w:ascii="仿宋_GB2312" w:hAnsi="仿宋_GB2312" w:cs="仿宋_GB2312"/>
                <w:b/>
                <w:bCs/>
                <w:sz w:val="24"/>
              </w:rPr>
            </w:pPr>
            <w:r>
              <w:rPr>
                <w:rFonts w:hint="eastAsia" w:ascii="仿宋_GB2312" w:hAnsi="仿宋_GB2312" w:cs="仿宋_GB2312"/>
                <w:b/>
                <w:bCs/>
                <w:sz w:val="24"/>
              </w:rPr>
              <w:t>工作单位</w:t>
            </w:r>
          </w:p>
        </w:tc>
        <w:tc>
          <w:tcPr>
            <w:tcW w:w="1395" w:type="pct"/>
            <w:tcBorders>
              <w:top w:val="single" w:color="auto" w:sz="4" w:space="0"/>
              <w:left w:val="single" w:color="auto" w:sz="4" w:space="0"/>
              <w:bottom w:val="single" w:color="auto" w:sz="4" w:space="0"/>
              <w:right w:val="single" w:color="auto" w:sz="4" w:space="0"/>
            </w:tcBorders>
            <w:vAlign w:val="center"/>
          </w:tcPr>
          <w:p w14:paraId="24A4CA78">
            <w:pPr>
              <w:keepNext w:val="0"/>
              <w:keepLines w:val="0"/>
              <w:suppressLineNumbers w:val="0"/>
              <w:spacing w:before="0" w:beforeAutospacing="0" w:after="0" w:afterAutospacing="0"/>
              <w:ind w:left="0" w:right="0" w:firstLine="0" w:firstLineChars="0"/>
              <w:jc w:val="center"/>
              <w:rPr>
                <w:rFonts w:hint="default" w:ascii="仿宋_GB2312" w:hAnsi="仿宋_GB2312" w:cs="仿宋_GB2312"/>
                <w:b/>
                <w:bCs/>
                <w:sz w:val="24"/>
              </w:rPr>
            </w:pPr>
            <w:r>
              <w:rPr>
                <w:rFonts w:hint="eastAsia" w:ascii="仿宋_GB2312" w:hAnsi="仿宋_GB2312" w:cs="仿宋_GB2312"/>
                <w:b/>
                <w:bCs/>
                <w:sz w:val="24"/>
              </w:rPr>
              <w:t>主要负责工作</w:t>
            </w:r>
          </w:p>
        </w:tc>
      </w:tr>
      <w:tr w14:paraId="671A3590">
        <w:tblPrEx>
          <w:tblCellMar>
            <w:top w:w="0" w:type="dxa"/>
            <w:left w:w="108" w:type="dxa"/>
            <w:bottom w:w="0" w:type="dxa"/>
            <w:right w:w="108" w:type="dxa"/>
          </w:tblCellMar>
        </w:tblPrEx>
        <w:trPr>
          <w:cantSplit/>
          <w:trHeight w:val="732"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01B6BE39">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兰淑惠</w:t>
            </w:r>
          </w:p>
        </w:tc>
        <w:tc>
          <w:tcPr>
            <w:tcW w:w="830" w:type="pct"/>
            <w:tcBorders>
              <w:top w:val="single" w:color="auto" w:sz="4" w:space="0"/>
              <w:left w:val="single" w:color="auto" w:sz="4" w:space="0"/>
              <w:bottom w:val="single" w:color="auto" w:sz="4" w:space="0"/>
              <w:right w:val="single" w:color="auto" w:sz="4" w:space="0"/>
            </w:tcBorders>
            <w:vAlign w:val="center"/>
          </w:tcPr>
          <w:p w14:paraId="771001C7">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技术中心副主任/高级工程师</w:t>
            </w:r>
          </w:p>
        </w:tc>
        <w:tc>
          <w:tcPr>
            <w:tcW w:w="812" w:type="pct"/>
            <w:tcBorders>
              <w:top w:val="single" w:color="000000" w:sz="2" w:space="0"/>
              <w:left w:val="single" w:color="auto" w:sz="4" w:space="0"/>
              <w:bottom w:val="single" w:color="auto" w:sz="4" w:space="0"/>
              <w:right w:val="single" w:color="auto" w:sz="4" w:space="0"/>
            </w:tcBorders>
            <w:vAlign w:val="center"/>
          </w:tcPr>
          <w:p w14:paraId="03814F59">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检验检测与实验室管理</w:t>
            </w:r>
          </w:p>
        </w:tc>
        <w:tc>
          <w:tcPr>
            <w:tcW w:w="1413" w:type="pct"/>
            <w:tcBorders>
              <w:top w:val="single" w:color="auto" w:sz="4" w:space="0"/>
              <w:left w:val="single" w:color="auto" w:sz="4" w:space="0"/>
              <w:bottom w:val="single" w:color="auto" w:sz="4" w:space="0"/>
              <w:right w:val="single" w:color="auto" w:sz="4" w:space="0"/>
            </w:tcBorders>
            <w:vAlign w:val="center"/>
          </w:tcPr>
          <w:p w14:paraId="31B8DCF4">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中国检验认证集团广西有限公司</w:t>
            </w:r>
          </w:p>
        </w:tc>
        <w:tc>
          <w:tcPr>
            <w:tcW w:w="1395" w:type="pct"/>
            <w:tcBorders>
              <w:top w:val="single" w:color="auto" w:sz="4" w:space="0"/>
              <w:left w:val="single" w:color="auto" w:sz="4" w:space="0"/>
              <w:bottom w:val="single" w:color="auto" w:sz="4" w:space="0"/>
              <w:right w:val="single" w:color="auto" w:sz="4" w:space="0"/>
            </w:tcBorders>
            <w:vAlign w:val="center"/>
          </w:tcPr>
          <w:p w14:paraId="0DB1043A">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统筹主持标准编制工作</w:t>
            </w:r>
          </w:p>
        </w:tc>
      </w:tr>
      <w:tr w14:paraId="0D18B1A0">
        <w:tblPrEx>
          <w:tblCellMar>
            <w:top w:w="0" w:type="dxa"/>
            <w:left w:w="108" w:type="dxa"/>
            <w:bottom w:w="0" w:type="dxa"/>
            <w:right w:w="108" w:type="dxa"/>
          </w:tblCellMar>
        </w:tblPrEx>
        <w:trPr>
          <w:cantSplit/>
          <w:trHeight w:val="732"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600D9ACD">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金其扬</w:t>
            </w:r>
          </w:p>
        </w:tc>
        <w:tc>
          <w:tcPr>
            <w:tcW w:w="830" w:type="pct"/>
            <w:tcBorders>
              <w:top w:val="single" w:color="auto" w:sz="4" w:space="0"/>
              <w:left w:val="single" w:color="auto" w:sz="4" w:space="0"/>
              <w:bottom w:val="single" w:color="auto" w:sz="4" w:space="0"/>
              <w:right w:val="single" w:color="auto" w:sz="4" w:space="0"/>
            </w:tcBorders>
            <w:vAlign w:val="center"/>
          </w:tcPr>
          <w:p w14:paraId="04A7F732">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技术中心食品实验室副主任/初级工程师</w:t>
            </w:r>
          </w:p>
        </w:tc>
        <w:tc>
          <w:tcPr>
            <w:tcW w:w="812" w:type="pct"/>
            <w:tcBorders>
              <w:top w:val="single" w:color="000000" w:sz="2" w:space="0"/>
              <w:left w:val="single" w:color="auto" w:sz="4" w:space="0"/>
              <w:bottom w:val="single" w:color="auto" w:sz="4" w:space="0"/>
              <w:right w:val="single" w:color="auto" w:sz="4" w:space="0"/>
            </w:tcBorders>
            <w:vAlign w:val="center"/>
          </w:tcPr>
          <w:p w14:paraId="74514597">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食品检验检测</w:t>
            </w:r>
          </w:p>
        </w:tc>
        <w:tc>
          <w:tcPr>
            <w:tcW w:w="1413" w:type="pct"/>
            <w:tcBorders>
              <w:top w:val="single" w:color="auto" w:sz="4" w:space="0"/>
              <w:left w:val="single" w:color="auto" w:sz="4" w:space="0"/>
              <w:bottom w:val="single" w:color="auto" w:sz="4" w:space="0"/>
              <w:right w:val="single" w:color="auto" w:sz="4" w:space="0"/>
            </w:tcBorders>
            <w:vAlign w:val="center"/>
          </w:tcPr>
          <w:p w14:paraId="2E544514">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中国检验认证集团广西有限公司</w:t>
            </w:r>
          </w:p>
        </w:tc>
        <w:tc>
          <w:tcPr>
            <w:tcW w:w="1395" w:type="pct"/>
            <w:tcBorders>
              <w:top w:val="single" w:color="auto" w:sz="4" w:space="0"/>
              <w:left w:val="single" w:color="auto" w:sz="4" w:space="0"/>
              <w:bottom w:val="single" w:color="auto" w:sz="4" w:space="0"/>
              <w:right w:val="single" w:color="auto" w:sz="4" w:space="0"/>
            </w:tcBorders>
            <w:vAlign w:val="center"/>
          </w:tcPr>
          <w:p w14:paraId="715D2786">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参与标准编制工作，组织人员进行标准发布后的宣贯培训。</w:t>
            </w:r>
          </w:p>
        </w:tc>
      </w:tr>
      <w:tr w14:paraId="3AB01F02">
        <w:tblPrEx>
          <w:tblCellMar>
            <w:top w:w="0" w:type="dxa"/>
            <w:left w:w="108" w:type="dxa"/>
            <w:bottom w:w="0" w:type="dxa"/>
            <w:right w:w="108" w:type="dxa"/>
          </w:tblCellMar>
        </w:tblPrEx>
        <w:trPr>
          <w:cantSplit/>
          <w:trHeight w:val="732"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4A52D5C0">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刘欢群</w:t>
            </w:r>
          </w:p>
        </w:tc>
        <w:tc>
          <w:tcPr>
            <w:tcW w:w="830" w:type="pct"/>
            <w:tcBorders>
              <w:top w:val="single" w:color="auto" w:sz="4" w:space="0"/>
              <w:left w:val="single" w:color="auto" w:sz="4" w:space="0"/>
              <w:bottom w:val="single" w:color="auto" w:sz="4" w:space="0"/>
              <w:right w:val="single" w:color="auto" w:sz="4" w:space="0"/>
            </w:tcBorders>
            <w:vAlign w:val="center"/>
          </w:tcPr>
          <w:p w14:paraId="2A5EB9CC">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技术中心食品实验室副主任/工程师</w:t>
            </w:r>
          </w:p>
        </w:tc>
        <w:tc>
          <w:tcPr>
            <w:tcW w:w="812" w:type="pct"/>
            <w:tcBorders>
              <w:top w:val="single" w:color="000000" w:sz="2" w:space="0"/>
              <w:left w:val="single" w:color="auto" w:sz="4" w:space="0"/>
              <w:bottom w:val="single" w:color="auto" w:sz="4" w:space="0"/>
              <w:right w:val="single" w:color="auto" w:sz="4" w:space="0"/>
            </w:tcBorders>
            <w:vAlign w:val="center"/>
          </w:tcPr>
          <w:p w14:paraId="4BC3B684">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食品检验检测</w:t>
            </w:r>
          </w:p>
        </w:tc>
        <w:tc>
          <w:tcPr>
            <w:tcW w:w="1413" w:type="pct"/>
            <w:tcBorders>
              <w:top w:val="single" w:color="auto" w:sz="4" w:space="0"/>
              <w:left w:val="single" w:color="auto" w:sz="4" w:space="0"/>
              <w:bottom w:val="single" w:color="auto" w:sz="4" w:space="0"/>
              <w:right w:val="single" w:color="auto" w:sz="4" w:space="0"/>
            </w:tcBorders>
            <w:vAlign w:val="center"/>
          </w:tcPr>
          <w:p w14:paraId="7118E3C5">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中国检验认证集团广西有限公司</w:t>
            </w:r>
          </w:p>
        </w:tc>
        <w:tc>
          <w:tcPr>
            <w:tcW w:w="1395" w:type="pct"/>
            <w:tcBorders>
              <w:top w:val="single" w:color="auto" w:sz="4" w:space="0"/>
              <w:left w:val="single" w:color="auto" w:sz="4" w:space="0"/>
              <w:bottom w:val="single" w:color="auto" w:sz="4" w:space="0"/>
              <w:right w:val="single" w:color="auto" w:sz="4" w:space="0"/>
            </w:tcBorders>
            <w:vAlign w:val="center"/>
          </w:tcPr>
          <w:p w14:paraId="6CCD25A6">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参与标准编制工作，组织人员进行标准发布后的宣贯培训。</w:t>
            </w:r>
          </w:p>
        </w:tc>
      </w:tr>
      <w:tr w14:paraId="4BA083EF">
        <w:tblPrEx>
          <w:tblCellMar>
            <w:top w:w="0" w:type="dxa"/>
            <w:left w:w="108" w:type="dxa"/>
            <w:bottom w:w="0" w:type="dxa"/>
            <w:right w:w="108" w:type="dxa"/>
          </w:tblCellMar>
        </w:tblPrEx>
        <w:trPr>
          <w:cantSplit/>
          <w:trHeight w:val="732"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004E52C7">
            <w:pPr>
              <w:keepNext w:val="0"/>
              <w:keepLines w:val="0"/>
              <w:widowControl/>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color w:val="000000"/>
                <w:kern w:val="0"/>
                <w:sz w:val="24"/>
                <w:lang w:bidi="ar"/>
              </w:rPr>
              <w:t>吴雪英</w:t>
            </w:r>
          </w:p>
        </w:tc>
        <w:tc>
          <w:tcPr>
            <w:tcW w:w="830" w:type="pct"/>
            <w:tcBorders>
              <w:top w:val="single" w:color="auto" w:sz="4" w:space="0"/>
              <w:left w:val="single" w:color="auto" w:sz="4" w:space="0"/>
              <w:bottom w:val="single" w:color="auto" w:sz="4" w:space="0"/>
              <w:right w:val="single" w:color="auto" w:sz="4" w:space="0"/>
            </w:tcBorders>
            <w:vAlign w:val="center"/>
          </w:tcPr>
          <w:p w14:paraId="745D33A3">
            <w:pPr>
              <w:keepNext w:val="0"/>
              <w:keepLines w:val="0"/>
              <w:widowControl/>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color w:val="000000"/>
                <w:kern w:val="0"/>
                <w:sz w:val="24"/>
                <w:lang w:bidi="ar"/>
              </w:rPr>
              <w:t>技术中心技术研发经理/高级工程师</w:t>
            </w:r>
          </w:p>
        </w:tc>
        <w:tc>
          <w:tcPr>
            <w:tcW w:w="812" w:type="pct"/>
            <w:tcBorders>
              <w:top w:val="single" w:color="000000" w:sz="2" w:space="0"/>
              <w:left w:val="single" w:color="auto" w:sz="4" w:space="0"/>
              <w:bottom w:val="single" w:color="auto" w:sz="4" w:space="0"/>
              <w:right w:val="single" w:color="auto" w:sz="4" w:space="0"/>
            </w:tcBorders>
            <w:vAlign w:val="center"/>
          </w:tcPr>
          <w:p w14:paraId="02C2A091">
            <w:pPr>
              <w:keepNext w:val="0"/>
              <w:keepLines w:val="0"/>
              <w:widowControl/>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color w:val="000000"/>
                <w:kern w:val="0"/>
                <w:sz w:val="24"/>
                <w:lang w:bidi="ar"/>
              </w:rPr>
              <w:t>检验检测与标准化</w:t>
            </w:r>
          </w:p>
        </w:tc>
        <w:tc>
          <w:tcPr>
            <w:tcW w:w="1413" w:type="pct"/>
            <w:tcBorders>
              <w:top w:val="single" w:color="auto" w:sz="4" w:space="0"/>
              <w:left w:val="single" w:color="auto" w:sz="4" w:space="0"/>
              <w:bottom w:val="single" w:color="auto" w:sz="4" w:space="0"/>
              <w:right w:val="single" w:color="auto" w:sz="4" w:space="0"/>
            </w:tcBorders>
            <w:vAlign w:val="center"/>
          </w:tcPr>
          <w:p w14:paraId="3E7214C8">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中国检验认证集团广西有限公司</w:t>
            </w:r>
          </w:p>
        </w:tc>
        <w:tc>
          <w:tcPr>
            <w:tcW w:w="1395" w:type="pct"/>
            <w:tcBorders>
              <w:top w:val="single" w:color="auto" w:sz="4" w:space="0"/>
              <w:left w:val="single" w:color="auto" w:sz="4" w:space="0"/>
              <w:bottom w:val="single" w:color="auto" w:sz="4" w:space="0"/>
              <w:right w:val="single" w:color="auto" w:sz="4" w:space="0"/>
            </w:tcBorders>
            <w:vAlign w:val="center"/>
          </w:tcPr>
          <w:p w14:paraId="38E121CC">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参与标准文本及编制说明的编写；组织开展标准征求意见会。</w:t>
            </w:r>
          </w:p>
        </w:tc>
      </w:tr>
      <w:tr w14:paraId="0001D09F">
        <w:tblPrEx>
          <w:tblCellMar>
            <w:top w:w="0" w:type="dxa"/>
            <w:left w:w="108" w:type="dxa"/>
            <w:bottom w:w="0" w:type="dxa"/>
            <w:right w:w="108" w:type="dxa"/>
          </w:tblCellMar>
        </w:tblPrEx>
        <w:trPr>
          <w:cantSplit/>
          <w:trHeight w:val="732"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3A2BAB55">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任鹏炜</w:t>
            </w:r>
          </w:p>
        </w:tc>
        <w:tc>
          <w:tcPr>
            <w:tcW w:w="830" w:type="pct"/>
            <w:tcBorders>
              <w:top w:val="single" w:color="auto" w:sz="4" w:space="0"/>
              <w:left w:val="single" w:color="auto" w:sz="4" w:space="0"/>
              <w:bottom w:val="single" w:color="auto" w:sz="4" w:space="0"/>
              <w:right w:val="single" w:color="auto" w:sz="4" w:space="0"/>
            </w:tcBorders>
            <w:vAlign w:val="center"/>
          </w:tcPr>
          <w:p w14:paraId="6F091716">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技术研发室工程师</w:t>
            </w:r>
          </w:p>
        </w:tc>
        <w:tc>
          <w:tcPr>
            <w:tcW w:w="812" w:type="pct"/>
            <w:tcBorders>
              <w:top w:val="single" w:color="000000" w:sz="2" w:space="0"/>
              <w:left w:val="single" w:color="auto" w:sz="4" w:space="0"/>
              <w:bottom w:val="single" w:color="auto" w:sz="4" w:space="0"/>
              <w:right w:val="single" w:color="auto" w:sz="4" w:space="0"/>
            </w:tcBorders>
            <w:vAlign w:val="center"/>
          </w:tcPr>
          <w:p w14:paraId="438419D8">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检验检测与标准化</w:t>
            </w:r>
          </w:p>
        </w:tc>
        <w:tc>
          <w:tcPr>
            <w:tcW w:w="1413" w:type="pct"/>
            <w:tcBorders>
              <w:top w:val="single" w:color="auto" w:sz="4" w:space="0"/>
              <w:left w:val="single" w:color="auto" w:sz="4" w:space="0"/>
              <w:bottom w:val="single" w:color="auto" w:sz="4" w:space="0"/>
              <w:right w:val="single" w:color="auto" w:sz="4" w:space="0"/>
            </w:tcBorders>
            <w:vAlign w:val="center"/>
          </w:tcPr>
          <w:p w14:paraId="54BED362">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中国检验认证集团广西有限公司</w:t>
            </w:r>
          </w:p>
        </w:tc>
        <w:tc>
          <w:tcPr>
            <w:tcW w:w="1395" w:type="pct"/>
            <w:tcBorders>
              <w:top w:val="single" w:color="auto" w:sz="4" w:space="0"/>
              <w:left w:val="single" w:color="auto" w:sz="4" w:space="0"/>
              <w:bottom w:val="single" w:color="auto" w:sz="4" w:space="0"/>
              <w:right w:val="single" w:color="auto" w:sz="4" w:space="0"/>
            </w:tcBorders>
            <w:vAlign w:val="center"/>
          </w:tcPr>
          <w:p w14:paraId="72AE188A">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参与标准文本及编制说明的编写；组织开展标准征求意见会。</w:t>
            </w:r>
          </w:p>
        </w:tc>
      </w:tr>
      <w:tr w14:paraId="6D918CC1">
        <w:tblPrEx>
          <w:tblCellMar>
            <w:top w:w="0" w:type="dxa"/>
            <w:left w:w="108" w:type="dxa"/>
            <w:bottom w:w="0" w:type="dxa"/>
            <w:right w:w="108" w:type="dxa"/>
          </w:tblCellMar>
        </w:tblPrEx>
        <w:trPr>
          <w:cantSplit/>
          <w:trHeight w:val="732"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0A498259">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段保屹</w:t>
            </w:r>
          </w:p>
        </w:tc>
        <w:tc>
          <w:tcPr>
            <w:tcW w:w="830" w:type="pct"/>
            <w:tcBorders>
              <w:top w:val="single" w:color="auto" w:sz="4" w:space="0"/>
              <w:left w:val="single" w:color="auto" w:sz="4" w:space="0"/>
              <w:bottom w:val="single" w:color="auto" w:sz="4" w:space="0"/>
              <w:right w:val="single" w:color="auto" w:sz="4" w:space="0"/>
            </w:tcBorders>
            <w:vAlign w:val="center"/>
          </w:tcPr>
          <w:p w14:paraId="3BACB6C5">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工程师</w:t>
            </w:r>
          </w:p>
        </w:tc>
        <w:tc>
          <w:tcPr>
            <w:tcW w:w="812" w:type="pct"/>
            <w:tcBorders>
              <w:top w:val="single" w:color="000000" w:sz="2" w:space="0"/>
              <w:left w:val="single" w:color="auto" w:sz="4" w:space="0"/>
              <w:bottom w:val="single" w:color="auto" w:sz="4" w:space="0"/>
              <w:right w:val="single" w:color="auto" w:sz="4" w:space="0"/>
            </w:tcBorders>
            <w:vAlign w:val="center"/>
          </w:tcPr>
          <w:p w14:paraId="79A6408D">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检验检测、技术开发</w:t>
            </w:r>
          </w:p>
        </w:tc>
        <w:tc>
          <w:tcPr>
            <w:tcW w:w="1413" w:type="pct"/>
            <w:tcBorders>
              <w:top w:val="single" w:color="auto" w:sz="4" w:space="0"/>
              <w:left w:val="single" w:color="auto" w:sz="4" w:space="0"/>
              <w:bottom w:val="single" w:color="auto" w:sz="4" w:space="0"/>
              <w:right w:val="single" w:color="auto" w:sz="4" w:space="0"/>
            </w:tcBorders>
            <w:vAlign w:val="center"/>
          </w:tcPr>
          <w:p w14:paraId="784CCDD5">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凭祥海关综合技术服务中心</w:t>
            </w:r>
          </w:p>
        </w:tc>
        <w:tc>
          <w:tcPr>
            <w:tcW w:w="1395" w:type="pct"/>
            <w:tcBorders>
              <w:top w:val="single" w:color="auto" w:sz="4" w:space="0"/>
              <w:left w:val="single" w:color="auto" w:sz="4" w:space="0"/>
              <w:bottom w:val="single" w:color="auto" w:sz="4" w:space="0"/>
              <w:right w:val="single" w:color="auto" w:sz="4" w:space="0"/>
            </w:tcBorders>
            <w:vAlign w:val="center"/>
          </w:tcPr>
          <w:p w14:paraId="329F66F5">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对标准实施情况进行总结分析，不断对团体标准提出修正意见。</w:t>
            </w:r>
          </w:p>
        </w:tc>
      </w:tr>
      <w:tr w14:paraId="2130A916">
        <w:tblPrEx>
          <w:tblCellMar>
            <w:top w:w="0" w:type="dxa"/>
            <w:left w:w="108" w:type="dxa"/>
            <w:bottom w:w="0" w:type="dxa"/>
            <w:right w:w="108" w:type="dxa"/>
          </w:tblCellMar>
        </w:tblPrEx>
        <w:trPr>
          <w:cantSplit/>
          <w:trHeight w:val="732"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602F9546">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谭灵</w:t>
            </w:r>
          </w:p>
        </w:tc>
        <w:tc>
          <w:tcPr>
            <w:tcW w:w="830" w:type="pct"/>
            <w:tcBorders>
              <w:top w:val="single" w:color="auto" w:sz="4" w:space="0"/>
              <w:left w:val="single" w:color="auto" w:sz="4" w:space="0"/>
              <w:bottom w:val="single" w:color="auto" w:sz="4" w:space="0"/>
              <w:right w:val="single" w:color="auto" w:sz="4" w:space="0"/>
            </w:tcBorders>
            <w:vAlign w:val="center"/>
          </w:tcPr>
          <w:p w14:paraId="136B08A1">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工程师</w:t>
            </w:r>
          </w:p>
        </w:tc>
        <w:tc>
          <w:tcPr>
            <w:tcW w:w="812" w:type="pct"/>
            <w:tcBorders>
              <w:top w:val="single" w:color="000000" w:sz="2" w:space="0"/>
              <w:left w:val="single" w:color="auto" w:sz="4" w:space="0"/>
              <w:bottom w:val="single" w:color="auto" w:sz="4" w:space="0"/>
              <w:right w:val="single" w:color="auto" w:sz="4" w:space="0"/>
            </w:tcBorders>
            <w:vAlign w:val="center"/>
          </w:tcPr>
          <w:p w14:paraId="374CAB42">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检验检测、技术开发</w:t>
            </w:r>
          </w:p>
        </w:tc>
        <w:tc>
          <w:tcPr>
            <w:tcW w:w="1413" w:type="pct"/>
            <w:tcBorders>
              <w:top w:val="single" w:color="auto" w:sz="4" w:space="0"/>
              <w:left w:val="single" w:color="auto" w:sz="4" w:space="0"/>
              <w:bottom w:val="single" w:color="auto" w:sz="4" w:space="0"/>
              <w:right w:val="single" w:color="auto" w:sz="4" w:space="0"/>
            </w:tcBorders>
            <w:vAlign w:val="center"/>
          </w:tcPr>
          <w:p w14:paraId="16638C1B">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凭祥海关综合技术服务中心</w:t>
            </w:r>
          </w:p>
        </w:tc>
        <w:tc>
          <w:tcPr>
            <w:tcW w:w="1395" w:type="pct"/>
            <w:tcBorders>
              <w:top w:val="single" w:color="auto" w:sz="4" w:space="0"/>
              <w:left w:val="single" w:color="auto" w:sz="4" w:space="0"/>
              <w:bottom w:val="single" w:color="auto" w:sz="4" w:space="0"/>
              <w:right w:val="single" w:color="auto" w:sz="4" w:space="0"/>
            </w:tcBorders>
            <w:vAlign w:val="center"/>
          </w:tcPr>
          <w:p w14:paraId="1E95D3F2">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对标准实施情况进行总结分析，不断对团体标准提出修正意见。</w:t>
            </w:r>
          </w:p>
        </w:tc>
      </w:tr>
      <w:tr w14:paraId="5A992D18">
        <w:tblPrEx>
          <w:tblCellMar>
            <w:top w:w="0" w:type="dxa"/>
            <w:left w:w="108" w:type="dxa"/>
            <w:bottom w:w="0" w:type="dxa"/>
            <w:right w:w="108" w:type="dxa"/>
          </w:tblCellMar>
        </w:tblPrEx>
        <w:trPr>
          <w:cantSplit/>
          <w:trHeight w:val="517"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06294A43">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黄素萍</w:t>
            </w:r>
          </w:p>
        </w:tc>
        <w:tc>
          <w:tcPr>
            <w:tcW w:w="830" w:type="pct"/>
            <w:tcBorders>
              <w:top w:val="single" w:color="auto" w:sz="4" w:space="0"/>
              <w:left w:val="single" w:color="auto" w:sz="4" w:space="0"/>
              <w:bottom w:val="single" w:color="auto" w:sz="4" w:space="0"/>
              <w:right w:val="single" w:color="auto" w:sz="4" w:space="0"/>
            </w:tcBorders>
            <w:vAlign w:val="center"/>
          </w:tcPr>
          <w:p w14:paraId="4B9069CE">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高级农艺师</w:t>
            </w:r>
          </w:p>
        </w:tc>
        <w:tc>
          <w:tcPr>
            <w:tcW w:w="812" w:type="pct"/>
            <w:tcBorders>
              <w:top w:val="single" w:color="000000" w:sz="2" w:space="0"/>
              <w:left w:val="single" w:color="auto" w:sz="4" w:space="0"/>
              <w:bottom w:val="single" w:color="auto" w:sz="4" w:space="0"/>
              <w:right w:val="single" w:color="auto" w:sz="4" w:space="0"/>
            </w:tcBorders>
            <w:vAlign w:val="center"/>
          </w:tcPr>
          <w:p w14:paraId="1ED6548F">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检验检测、技术开发</w:t>
            </w:r>
          </w:p>
        </w:tc>
        <w:tc>
          <w:tcPr>
            <w:tcW w:w="1413" w:type="pct"/>
            <w:tcBorders>
              <w:top w:val="single" w:color="auto" w:sz="4" w:space="0"/>
              <w:left w:val="single" w:color="auto" w:sz="4" w:space="0"/>
              <w:bottom w:val="single" w:color="auto" w:sz="4" w:space="0"/>
              <w:right w:val="single" w:color="auto" w:sz="4" w:space="0"/>
            </w:tcBorders>
            <w:vAlign w:val="center"/>
          </w:tcPr>
          <w:p w14:paraId="09BC87D9">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东兴海关综合技术服务中心</w:t>
            </w:r>
          </w:p>
        </w:tc>
        <w:tc>
          <w:tcPr>
            <w:tcW w:w="1395" w:type="pct"/>
            <w:tcBorders>
              <w:top w:val="single" w:color="auto" w:sz="4" w:space="0"/>
              <w:left w:val="single" w:color="auto" w:sz="4" w:space="0"/>
              <w:bottom w:val="single" w:color="auto" w:sz="4" w:space="0"/>
              <w:right w:val="single" w:color="auto" w:sz="4" w:space="0"/>
            </w:tcBorders>
            <w:vAlign w:val="center"/>
          </w:tcPr>
          <w:p w14:paraId="57CD8329">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参与标准编制工作，组织人员进行标准发布后的宣贯培训。</w:t>
            </w:r>
          </w:p>
        </w:tc>
      </w:tr>
      <w:tr w14:paraId="3140A961">
        <w:tblPrEx>
          <w:tblCellMar>
            <w:top w:w="0" w:type="dxa"/>
            <w:left w:w="108" w:type="dxa"/>
            <w:bottom w:w="0" w:type="dxa"/>
            <w:right w:w="108" w:type="dxa"/>
          </w:tblCellMar>
        </w:tblPrEx>
        <w:trPr>
          <w:cantSplit/>
          <w:trHeight w:val="517"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62BF328B">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韦鑫</w:t>
            </w:r>
          </w:p>
        </w:tc>
        <w:tc>
          <w:tcPr>
            <w:tcW w:w="830" w:type="pct"/>
            <w:tcBorders>
              <w:top w:val="single" w:color="auto" w:sz="4" w:space="0"/>
              <w:left w:val="single" w:color="auto" w:sz="4" w:space="0"/>
              <w:bottom w:val="single" w:color="auto" w:sz="4" w:space="0"/>
              <w:right w:val="single" w:color="auto" w:sz="4" w:space="0"/>
            </w:tcBorders>
            <w:vAlign w:val="center"/>
          </w:tcPr>
          <w:p w14:paraId="74CAE71D">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助理工程师</w:t>
            </w:r>
          </w:p>
        </w:tc>
        <w:tc>
          <w:tcPr>
            <w:tcW w:w="812" w:type="pct"/>
            <w:tcBorders>
              <w:top w:val="single" w:color="000000" w:sz="2" w:space="0"/>
              <w:left w:val="single" w:color="auto" w:sz="4" w:space="0"/>
              <w:bottom w:val="single" w:color="auto" w:sz="4" w:space="0"/>
              <w:right w:val="single" w:color="auto" w:sz="4" w:space="0"/>
            </w:tcBorders>
            <w:vAlign w:val="center"/>
          </w:tcPr>
          <w:p w14:paraId="260C8520">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w:t>
            </w:r>
          </w:p>
        </w:tc>
        <w:tc>
          <w:tcPr>
            <w:tcW w:w="1413" w:type="pct"/>
            <w:tcBorders>
              <w:top w:val="single" w:color="auto" w:sz="4" w:space="0"/>
              <w:left w:val="single" w:color="auto" w:sz="4" w:space="0"/>
              <w:bottom w:val="single" w:color="auto" w:sz="4" w:space="0"/>
              <w:right w:val="single" w:color="auto" w:sz="4" w:space="0"/>
            </w:tcBorders>
            <w:vAlign w:val="center"/>
          </w:tcPr>
          <w:p w14:paraId="114EBE81">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东兴海关综合技术服务中心</w:t>
            </w:r>
          </w:p>
        </w:tc>
        <w:tc>
          <w:tcPr>
            <w:tcW w:w="1395" w:type="pct"/>
            <w:tcBorders>
              <w:top w:val="single" w:color="auto" w:sz="4" w:space="0"/>
              <w:left w:val="single" w:color="auto" w:sz="4" w:space="0"/>
              <w:bottom w:val="single" w:color="auto" w:sz="4" w:space="0"/>
              <w:right w:val="single" w:color="auto" w:sz="4" w:space="0"/>
            </w:tcBorders>
            <w:vAlign w:val="center"/>
          </w:tcPr>
          <w:p w14:paraId="5C27BAB4">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参与标准文本及编制说明编写，质量控制。</w:t>
            </w:r>
          </w:p>
        </w:tc>
      </w:tr>
      <w:tr w14:paraId="33E48544">
        <w:tblPrEx>
          <w:tblCellMar>
            <w:top w:w="0" w:type="dxa"/>
            <w:left w:w="108" w:type="dxa"/>
            <w:bottom w:w="0" w:type="dxa"/>
            <w:right w:w="108" w:type="dxa"/>
          </w:tblCellMar>
        </w:tblPrEx>
        <w:trPr>
          <w:cantSplit/>
          <w:trHeight w:val="517"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053F3CC5">
            <w:pPr>
              <w:keepNext w:val="0"/>
              <w:keepLines w:val="0"/>
              <w:widowControl/>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罗振静</w:t>
            </w:r>
          </w:p>
        </w:tc>
        <w:tc>
          <w:tcPr>
            <w:tcW w:w="830" w:type="pct"/>
            <w:tcBorders>
              <w:top w:val="single" w:color="auto" w:sz="4" w:space="0"/>
              <w:left w:val="single" w:color="auto" w:sz="4" w:space="0"/>
              <w:bottom w:val="single" w:color="auto" w:sz="4" w:space="0"/>
              <w:right w:val="single" w:color="auto" w:sz="4" w:space="0"/>
            </w:tcBorders>
            <w:vAlign w:val="center"/>
          </w:tcPr>
          <w:p w14:paraId="3E5B03F2">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工程师</w:t>
            </w:r>
          </w:p>
        </w:tc>
        <w:tc>
          <w:tcPr>
            <w:tcW w:w="812" w:type="pct"/>
            <w:tcBorders>
              <w:top w:val="single" w:color="000000" w:sz="2" w:space="0"/>
              <w:left w:val="single" w:color="auto" w:sz="4" w:space="0"/>
              <w:bottom w:val="single" w:color="auto" w:sz="4" w:space="0"/>
              <w:right w:val="single" w:color="auto" w:sz="4" w:space="0"/>
            </w:tcBorders>
            <w:vAlign w:val="center"/>
          </w:tcPr>
          <w:p w14:paraId="584C7AC6">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检验检测、技术开发</w:t>
            </w:r>
          </w:p>
        </w:tc>
        <w:tc>
          <w:tcPr>
            <w:tcW w:w="1413" w:type="pct"/>
            <w:tcBorders>
              <w:top w:val="single" w:color="auto" w:sz="4" w:space="0"/>
              <w:left w:val="single" w:color="auto" w:sz="4" w:space="0"/>
              <w:bottom w:val="single" w:color="auto" w:sz="4" w:space="0"/>
              <w:right w:val="single" w:color="auto" w:sz="4" w:space="0"/>
            </w:tcBorders>
          </w:tcPr>
          <w:p w14:paraId="07AC9185">
            <w:pPr>
              <w:keepNext w:val="0"/>
              <w:keepLines w:val="0"/>
              <w:suppressLineNumbers w:val="0"/>
              <w:spacing w:before="0" w:beforeAutospacing="0" w:after="0" w:afterAutospacing="0"/>
              <w:ind w:left="0" w:right="0" w:firstLine="0" w:firstLineChars="0"/>
              <w:rPr>
                <w:rFonts w:hint="default" w:ascii="仿宋_GB2312" w:hAnsi="仿宋_GB2312" w:cs="仿宋_GB2312"/>
                <w:sz w:val="24"/>
                <w:lang w:bidi="ar"/>
              </w:rPr>
            </w:pPr>
            <w:r>
              <w:rPr>
                <w:rFonts w:hint="eastAsia" w:ascii="仿宋_GB2312" w:hAnsi="仿宋_GB2312" w:cs="仿宋_GB2312"/>
                <w:sz w:val="24"/>
                <w:lang w:bidi="ar"/>
              </w:rPr>
              <w:t>防城港检验检测中心</w:t>
            </w:r>
          </w:p>
        </w:tc>
        <w:tc>
          <w:tcPr>
            <w:tcW w:w="1395" w:type="pct"/>
            <w:tcBorders>
              <w:top w:val="single" w:color="auto" w:sz="4" w:space="0"/>
              <w:left w:val="single" w:color="auto" w:sz="4" w:space="0"/>
              <w:bottom w:val="single" w:color="auto" w:sz="4" w:space="0"/>
              <w:right w:val="single" w:color="auto" w:sz="4" w:space="0"/>
            </w:tcBorders>
            <w:vAlign w:val="center"/>
          </w:tcPr>
          <w:p w14:paraId="04EE7AC2">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对标准实施情况进行总结分析，不断对团体标准提出修正意见。</w:t>
            </w:r>
          </w:p>
        </w:tc>
      </w:tr>
      <w:tr w14:paraId="69A38AAA">
        <w:tblPrEx>
          <w:tblCellMar>
            <w:top w:w="0" w:type="dxa"/>
            <w:left w:w="108" w:type="dxa"/>
            <w:bottom w:w="0" w:type="dxa"/>
            <w:right w:w="108" w:type="dxa"/>
          </w:tblCellMar>
        </w:tblPrEx>
        <w:trPr>
          <w:cantSplit/>
          <w:trHeight w:val="517"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02D89C00">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陈军妃</w:t>
            </w:r>
          </w:p>
        </w:tc>
        <w:tc>
          <w:tcPr>
            <w:tcW w:w="830" w:type="pct"/>
            <w:tcBorders>
              <w:top w:val="single" w:color="auto" w:sz="4" w:space="0"/>
              <w:left w:val="single" w:color="auto" w:sz="4" w:space="0"/>
              <w:bottom w:val="single" w:color="auto" w:sz="4" w:space="0"/>
              <w:right w:val="single" w:color="auto" w:sz="4" w:space="0"/>
            </w:tcBorders>
            <w:vAlign w:val="center"/>
          </w:tcPr>
          <w:p w14:paraId="611E6250">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工程师</w:t>
            </w:r>
          </w:p>
        </w:tc>
        <w:tc>
          <w:tcPr>
            <w:tcW w:w="812" w:type="pct"/>
            <w:tcBorders>
              <w:top w:val="single" w:color="000000" w:sz="2" w:space="0"/>
              <w:left w:val="single" w:color="auto" w:sz="4" w:space="0"/>
              <w:bottom w:val="single" w:color="auto" w:sz="4" w:space="0"/>
              <w:right w:val="single" w:color="auto" w:sz="4" w:space="0"/>
            </w:tcBorders>
            <w:vAlign w:val="center"/>
          </w:tcPr>
          <w:p w14:paraId="4747B544">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检验检测、技术开发</w:t>
            </w:r>
          </w:p>
        </w:tc>
        <w:tc>
          <w:tcPr>
            <w:tcW w:w="1413" w:type="pct"/>
            <w:tcBorders>
              <w:top w:val="single" w:color="auto" w:sz="4" w:space="0"/>
              <w:left w:val="single" w:color="auto" w:sz="4" w:space="0"/>
              <w:bottom w:val="single" w:color="auto" w:sz="4" w:space="0"/>
              <w:right w:val="single" w:color="auto" w:sz="4" w:space="0"/>
            </w:tcBorders>
          </w:tcPr>
          <w:p w14:paraId="5D60CBF0">
            <w:pPr>
              <w:keepNext w:val="0"/>
              <w:keepLines w:val="0"/>
              <w:suppressLineNumbers w:val="0"/>
              <w:spacing w:before="0" w:beforeAutospacing="0" w:after="0" w:afterAutospacing="0"/>
              <w:ind w:left="0" w:right="0" w:firstLine="0" w:firstLineChars="0"/>
              <w:rPr>
                <w:rFonts w:hint="default" w:ascii="仿宋_GB2312" w:hAnsi="仿宋_GB2312" w:cs="仿宋_GB2312"/>
                <w:sz w:val="24"/>
                <w:lang w:bidi="ar"/>
              </w:rPr>
            </w:pPr>
            <w:r>
              <w:rPr>
                <w:rFonts w:hint="eastAsia" w:ascii="仿宋_GB2312" w:hAnsi="仿宋_GB2312" w:cs="仿宋_GB2312"/>
                <w:sz w:val="24"/>
                <w:lang w:bidi="ar"/>
              </w:rPr>
              <w:t>防城港检验检测中心</w:t>
            </w:r>
          </w:p>
        </w:tc>
        <w:tc>
          <w:tcPr>
            <w:tcW w:w="1395" w:type="pct"/>
            <w:tcBorders>
              <w:top w:val="single" w:color="auto" w:sz="4" w:space="0"/>
              <w:left w:val="single" w:color="auto" w:sz="4" w:space="0"/>
              <w:bottom w:val="single" w:color="auto" w:sz="4" w:space="0"/>
              <w:right w:val="single" w:color="auto" w:sz="4" w:space="0"/>
            </w:tcBorders>
            <w:vAlign w:val="center"/>
          </w:tcPr>
          <w:p w14:paraId="6D3F3295">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对标准实施情况进行总结分析，不断对团体标准提出修正意见。</w:t>
            </w:r>
          </w:p>
        </w:tc>
      </w:tr>
      <w:tr w14:paraId="50BC7806">
        <w:tblPrEx>
          <w:tblCellMar>
            <w:top w:w="0" w:type="dxa"/>
            <w:left w:w="108" w:type="dxa"/>
            <w:bottom w:w="0" w:type="dxa"/>
            <w:right w:w="108" w:type="dxa"/>
          </w:tblCellMar>
        </w:tblPrEx>
        <w:trPr>
          <w:cantSplit/>
          <w:trHeight w:val="517"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1E27A105">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王爱</w:t>
            </w:r>
          </w:p>
        </w:tc>
        <w:tc>
          <w:tcPr>
            <w:tcW w:w="830" w:type="pct"/>
            <w:tcBorders>
              <w:top w:val="single" w:color="auto" w:sz="4" w:space="0"/>
              <w:left w:val="single" w:color="auto" w:sz="4" w:space="0"/>
              <w:bottom w:val="single" w:color="auto" w:sz="4" w:space="0"/>
              <w:right w:val="single" w:color="auto" w:sz="4" w:space="0"/>
            </w:tcBorders>
            <w:vAlign w:val="center"/>
          </w:tcPr>
          <w:p w14:paraId="63BB3D54">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工程师</w:t>
            </w:r>
          </w:p>
        </w:tc>
        <w:tc>
          <w:tcPr>
            <w:tcW w:w="812" w:type="pct"/>
            <w:tcBorders>
              <w:top w:val="single" w:color="000000" w:sz="2" w:space="0"/>
              <w:left w:val="single" w:color="auto" w:sz="4" w:space="0"/>
              <w:bottom w:val="single" w:color="auto" w:sz="4" w:space="0"/>
              <w:right w:val="single" w:color="auto" w:sz="4" w:space="0"/>
            </w:tcBorders>
            <w:vAlign w:val="center"/>
          </w:tcPr>
          <w:p w14:paraId="4910B499">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检验检测与技术开发</w:t>
            </w:r>
          </w:p>
        </w:tc>
        <w:tc>
          <w:tcPr>
            <w:tcW w:w="1413" w:type="pct"/>
            <w:tcBorders>
              <w:top w:val="single" w:color="auto" w:sz="4" w:space="0"/>
              <w:left w:val="single" w:color="auto" w:sz="4" w:space="0"/>
              <w:bottom w:val="single" w:color="auto" w:sz="4" w:space="0"/>
              <w:right w:val="single" w:color="auto" w:sz="4" w:space="0"/>
            </w:tcBorders>
            <w:vAlign w:val="center"/>
          </w:tcPr>
          <w:p w14:paraId="4D816B18">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广西环保产业发展研究院有限公司</w:t>
            </w:r>
          </w:p>
        </w:tc>
        <w:tc>
          <w:tcPr>
            <w:tcW w:w="1395" w:type="pct"/>
            <w:tcBorders>
              <w:top w:val="single" w:color="auto" w:sz="4" w:space="0"/>
              <w:left w:val="single" w:color="auto" w:sz="4" w:space="0"/>
              <w:bottom w:val="single" w:color="auto" w:sz="4" w:space="0"/>
              <w:right w:val="single" w:color="auto" w:sz="4" w:space="0"/>
            </w:tcBorders>
            <w:vAlign w:val="center"/>
          </w:tcPr>
          <w:p w14:paraId="0D5CD035">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对标准实施情况进行总结分析，不断对团体标准提出修正意见。</w:t>
            </w:r>
          </w:p>
        </w:tc>
      </w:tr>
      <w:tr w14:paraId="779250BC">
        <w:tblPrEx>
          <w:tblCellMar>
            <w:top w:w="0" w:type="dxa"/>
            <w:left w:w="108" w:type="dxa"/>
            <w:bottom w:w="0" w:type="dxa"/>
            <w:right w:w="108" w:type="dxa"/>
          </w:tblCellMar>
        </w:tblPrEx>
        <w:trPr>
          <w:cantSplit/>
          <w:trHeight w:val="517"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3D17A71F">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白永庆</w:t>
            </w:r>
          </w:p>
        </w:tc>
        <w:tc>
          <w:tcPr>
            <w:tcW w:w="830" w:type="pct"/>
            <w:tcBorders>
              <w:top w:val="single" w:color="auto" w:sz="4" w:space="0"/>
              <w:left w:val="single" w:color="auto" w:sz="4" w:space="0"/>
              <w:bottom w:val="single" w:color="auto" w:sz="4" w:space="0"/>
              <w:right w:val="single" w:color="auto" w:sz="4" w:space="0"/>
            </w:tcBorders>
            <w:vAlign w:val="center"/>
          </w:tcPr>
          <w:p w14:paraId="02C9B787">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工程师</w:t>
            </w:r>
          </w:p>
        </w:tc>
        <w:tc>
          <w:tcPr>
            <w:tcW w:w="812" w:type="pct"/>
            <w:tcBorders>
              <w:top w:val="single" w:color="000000" w:sz="2" w:space="0"/>
              <w:left w:val="single" w:color="auto" w:sz="4" w:space="0"/>
              <w:bottom w:val="single" w:color="000000" w:sz="2" w:space="0"/>
              <w:right w:val="single" w:color="auto" w:sz="4" w:space="0"/>
            </w:tcBorders>
            <w:vAlign w:val="center"/>
          </w:tcPr>
          <w:p w14:paraId="46707E4E">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检验检测与技术开发</w:t>
            </w:r>
          </w:p>
        </w:tc>
        <w:tc>
          <w:tcPr>
            <w:tcW w:w="1413" w:type="pct"/>
            <w:tcBorders>
              <w:top w:val="single" w:color="auto" w:sz="4" w:space="0"/>
              <w:left w:val="single" w:color="auto" w:sz="4" w:space="0"/>
              <w:bottom w:val="single" w:color="auto" w:sz="4" w:space="0"/>
              <w:right w:val="single" w:color="auto" w:sz="4" w:space="0"/>
            </w:tcBorders>
            <w:vAlign w:val="center"/>
          </w:tcPr>
          <w:p w14:paraId="49F991D8">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防城市知识产权保护中心</w:t>
            </w:r>
          </w:p>
        </w:tc>
        <w:tc>
          <w:tcPr>
            <w:tcW w:w="1395" w:type="pct"/>
            <w:tcBorders>
              <w:top w:val="single" w:color="auto" w:sz="4" w:space="0"/>
              <w:left w:val="single" w:color="auto" w:sz="4" w:space="0"/>
              <w:bottom w:val="single" w:color="auto" w:sz="4" w:space="0"/>
              <w:right w:val="single" w:color="auto" w:sz="4" w:space="0"/>
            </w:tcBorders>
            <w:vAlign w:val="center"/>
          </w:tcPr>
          <w:p w14:paraId="7781034F">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对标准实施情况进行总结分析，不断对团体标准提出修正意见。</w:t>
            </w:r>
          </w:p>
        </w:tc>
      </w:tr>
      <w:tr w14:paraId="58B656C6">
        <w:tblPrEx>
          <w:tblCellMar>
            <w:top w:w="0" w:type="dxa"/>
            <w:left w:w="108" w:type="dxa"/>
            <w:bottom w:w="0" w:type="dxa"/>
            <w:right w:w="108" w:type="dxa"/>
          </w:tblCellMar>
        </w:tblPrEx>
        <w:trPr>
          <w:cantSplit/>
          <w:trHeight w:val="517"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4298017D">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司露露</w:t>
            </w:r>
          </w:p>
        </w:tc>
        <w:tc>
          <w:tcPr>
            <w:tcW w:w="830" w:type="pct"/>
            <w:tcBorders>
              <w:top w:val="single" w:color="auto" w:sz="4" w:space="0"/>
              <w:left w:val="single" w:color="auto" w:sz="4" w:space="0"/>
              <w:bottom w:val="single" w:color="auto" w:sz="4" w:space="0"/>
              <w:right w:val="single" w:color="auto" w:sz="4" w:space="0"/>
            </w:tcBorders>
            <w:vAlign w:val="center"/>
          </w:tcPr>
          <w:p w14:paraId="38A15003">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高级工程师</w:t>
            </w:r>
          </w:p>
        </w:tc>
        <w:tc>
          <w:tcPr>
            <w:tcW w:w="812" w:type="pct"/>
            <w:tcBorders>
              <w:top w:val="single" w:color="000000" w:sz="2" w:space="0"/>
              <w:left w:val="single" w:color="auto" w:sz="4" w:space="0"/>
              <w:bottom w:val="single" w:color="000000" w:sz="2" w:space="0"/>
              <w:right w:val="single" w:color="auto" w:sz="4" w:space="0"/>
            </w:tcBorders>
            <w:vAlign w:val="center"/>
          </w:tcPr>
          <w:p w14:paraId="221442EA">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w:t>
            </w:r>
          </w:p>
        </w:tc>
        <w:tc>
          <w:tcPr>
            <w:tcW w:w="1413" w:type="pct"/>
            <w:tcBorders>
              <w:top w:val="single" w:color="auto" w:sz="4" w:space="0"/>
              <w:left w:val="single" w:color="auto" w:sz="4" w:space="0"/>
              <w:bottom w:val="single" w:color="auto" w:sz="4" w:space="0"/>
              <w:right w:val="single" w:color="auto" w:sz="4" w:space="0"/>
            </w:tcBorders>
            <w:shd w:val="clear" w:color="auto" w:fill="auto"/>
            <w:vAlign w:val="center"/>
          </w:tcPr>
          <w:p w14:paraId="593B446A">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南宁海关技术中心</w:t>
            </w:r>
          </w:p>
        </w:tc>
        <w:tc>
          <w:tcPr>
            <w:tcW w:w="1395" w:type="pct"/>
            <w:tcBorders>
              <w:top w:val="single" w:color="auto" w:sz="4" w:space="0"/>
              <w:left w:val="single" w:color="auto" w:sz="4" w:space="0"/>
              <w:bottom w:val="single" w:color="auto" w:sz="4" w:space="0"/>
              <w:right w:val="single" w:color="auto" w:sz="4" w:space="0"/>
            </w:tcBorders>
            <w:vAlign w:val="center"/>
          </w:tcPr>
          <w:p w14:paraId="7471F918">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对标准实施情况进行总结分析，不断对团体标准提出修正意见。</w:t>
            </w:r>
          </w:p>
        </w:tc>
      </w:tr>
      <w:tr w14:paraId="3B50E62F">
        <w:tblPrEx>
          <w:tblCellMar>
            <w:top w:w="0" w:type="dxa"/>
            <w:left w:w="108" w:type="dxa"/>
            <w:bottom w:w="0" w:type="dxa"/>
            <w:right w:w="108" w:type="dxa"/>
          </w:tblCellMar>
        </w:tblPrEx>
        <w:trPr>
          <w:cantSplit/>
          <w:trHeight w:val="517"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7C07CA19">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黄崇杏</w:t>
            </w:r>
          </w:p>
        </w:tc>
        <w:tc>
          <w:tcPr>
            <w:tcW w:w="830" w:type="pct"/>
            <w:tcBorders>
              <w:top w:val="single" w:color="auto" w:sz="4" w:space="0"/>
              <w:left w:val="single" w:color="auto" w:sz="4" w:space="0"/>
              <w:bottom w:val="single" w:color="auto" w:sz="4" w:space="0"/>
              <w:right w:val="single" w:color="auto" w:sz="4" w:space="0"/>
            </w:tcBorders>
            <w:vAlign w:val="center"/>
          </w:tcPr>
          <w:p w14:paraId="18266BD8">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工程师</w:t>
            </w:r>
          </w:p>
        </w:tc>
        <w:tc>
          <w:tcPr>
            <w:tcW w:w="812" w:type="pct"/>
            <w:tcBorders>
              <w:top w:val="single" w:color="000000" w:sz="2" w:space="0"/>
              <w:left w:val="single" w:color="auto" w:sz="4" w:space="0"/>
              <w:bottom w:val="single" w:color="000000" w:sz="2" w:space="0"/>
              <w:right w:val="single" w:color="auto" w:sz="4" w:space="0"/>
            </w:tcBorders>
            <w:vAlign w:val="center"/>
          </w:tcPr>
          <w:p w14:paraId="496736E5">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检验检测与技术开发</w:t>
            </w:r>
          </w:p>
        </w:tc>
        <w:tc>
          <w:tcPr>
            <w:tcW w:w="1413" w:type="pct"/>
            <w:tcBorders>
              <w:top w:val="single" w:color="auto" w:sz="4" w:space="0"/>
              <w:left w:val="single" w:color="auto" w:sz="4" w:space="0"/>
              <w:bottom w:val="single" w:color="auto" w:sz="4" w:space="0"/>
              <w:right w:val="single" w:color="auto" w:sz="4" w:space="0"/>
            </w:tcBorders>
            <w:shd w:val="clear" w:color="auto" w:fill="auto"/>
            <w:vAlign w:val="center"/>
          </w:tcPr>
          <w:p w14:paraId="2163D8D9">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广西大学轻工与食品工程学院</w:t>
            </w:r>
          </w:p>
        </w:tc>
        <w:tc>
          <w:tcPr>
            <w:tcW w:w="1395" w:type="pct"/>
            <w:tcBorders>
              <w:top w:val="single" w:color="auto" w:sz="4" w:space="0"/>
              <w:left w:val="single" w:color="auto" w:sz="4" w:space="0"/>
              <w:bottom w:val="single" w:color="auto" w:sz="4" w:space="0"/>
              <w:right w:val="single" w:color="auto" w:sz="4" w:space="0"/>
            </w:tcBorders>
            <w:vAlign w:val="center"/>
          </w:tcPr>
          <w:p w14:paraId="156D716B">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对标准实施情况进行总结分析，不断对团体标准提出修正意见。</w:t>
            </w:r>
          </w:p>
        </w:tc>
      </w:tr>
      <w:tr w14:paraId="75EB1BC0">
        <w:tblPrEx>
          <w:tblCellMar>
            <w:top w:w="0" w:type="dxa"/>
            <w:left w:w="108" w:type="dxa"/>
            <w:bottom w:w="0" w:type="dxa"/>
            <w:right w:w="108" w:type="dxa"/>
          </w:tblCellMar>
        </w:tblPrEx>
        <w:trPr>
          <w:cantSplit/>
          <w:trHeight w:val="517"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7E6E1BAE">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覃浩杰</w:t>
            </w:r>
          </w:p>
        </w:tc>
        <w:tc>
          <w:tcPr>
            <w:tcW w:w="830" w:type="pct"/>
            <w:tcBorders>
              <w:top w:val="single" w:color="auto" w:sz="4" w:space="0"/>
              <w:left w:val="single" w:color="auto" w:sz="4" w:space="0"/>
              <w:bottom w:val="single" w:color="auto" w:sz="4" w:space="0"/>
              <w:right w:val="single" w:color="auto" w:sz="4" w:space="0"/>
            </w:tcBorders>
            <w:vAlign w:val="center"/>
          </w:tcPr>
          <w:p w14:paraId="0DA69EDE">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助理工程师</w:t>
            </w:r>
          </w:p>
        </w:tc>
        <w:tc>
          <w:tcPr>
            <w:tcW w:w="812" w:type="pct"/>
            <w:tcBorders>
              <w:top w:val="single" w:color="000000" w:sz="2" w:space="0"/>
              <w:left w:val="single" w:color="auto" w:sz="4" w:space="0"/>
              <w:bottom w:val="single" w:color="000000" w:sz="2" w:space="0"/>
              <w:right w:val="single" w:color="auto" w:sz="4" w:space="0"/>
            </w:tcBorders>
            <w:vAlign w:val="center"/>
          </w:tcPr>
          <w:p w14:paraId="4B6EF4F9">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w:t>
            </w:r>
          </w:p>
        </w:tc>
        <w:tc>
          <w:tcPr>
            <w:tcW w:w="1413" w:type="pct"/>
            <w:tcBorders>
              <w:top w:val="single" w:color="auto" w:sz="4" w:space="0"/>
              <w:left w:val="single" w:color="auto" w:sz="4" w:space="0"/>
              <w:bottom w:val="single" w:color="auto" w:sz="4" w:space="0"/>
              <w:right w:val="single" w:color="auto" w:sz="4" w:space="0"/>
            </w:tcBorders>
            <w:shd w:val="clear" w:color="auto" w:fill="auto"/>
            <w:vAlign w:val="center"/>
          </w:tcPr>
          <w:p w14:paraId="5756DCC0">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中国检验认证集团越南有限公司</w:t>
            </w:r>
          </w:p>
        </w:tc>
        <w:tc>
          <w:tcPr>
            <w:tcW w:w="1395" w:type="pct"/>
            <w:tcBorders>
              <w:top w:val="single" w:color="auto" w:sz="4" w:space="0"/>
              <w:left w:val="single" w:color="auto" w:sz="4" w:space="0"/>
              <w:bottom w:val="single" w:color="auto" w:sz="4" w:space="0"/>
              <w:right w:val="single" w:color="auto" w:sz="4" w:space="0"/>
            </w:tcBorders>
            <w:vAlign w:val="center"/>
          </w:tcPr>
          <w:p w14:paraId="5264419E">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对标准实施情况进行总结分析，不断对团体标准提出修正意见。</w:t>
            </w:r>
          </w:p>
        </w:tc>
      </w:tr>
      <w:tr w14:paraId="64C03920">
        <w:tblPrEx>
          <w:tblCellMar>
            <w:top w:w="0" w:type="dxa"/>
            <w:left w:w="108" w:type="dxa"/>
            <w:bottom w:w="0" w:type="dxa"/>
            <w:right w:w="108" w:type="dxa"/>
          </w:tblCellMar>
        </w:tblPrEx>
        <w:trPr>
          <w:cantSplit/>
          <w:trHeight w:val="517" w:hRule="atLeast"/>
          <w:jc w:val="center"/>
        </w:trPr>
        <w:tc>
          <w:tcPr>
            <w:tcW w:w="549" w:type="pct"/>
            <w:tcBorders>
              <w:top w:val="single" w:color="auto" w:sz="4" w:space="0"/>
              <w:left w:val="single" w:color="auto" w:sz="4" w:space="0"/>
              <w:bottom w:val="single" w:color="auto" w:sz="4" w:space="0"/>
              <w:right w:val="single" w:color="008000" w:sz="4" w:space="0"/>
            </w:tcBorders>
            <w:vAlign w:val="center"/>
          </w:tcPr>
          <w:p w14:paraId="1B61C0BC">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黄嵩</w:t>
            </w:r>
          </w:p>
        </w:tc>
        <w:tc>
          <w:tcPr>
            <w:tcW w:w="830" w:type="pct"/>
            <w:tcBorders>
              <w:top w:val="single" w:color="auto" w:sz="4" w:space="0"/>
              <w:left w:val="single" w:color="auto" w:sz="4" w:space="0"/>
              <w:bottom w:val="single" w:color="auto" w:sz="4" w:space="0"/>
              <w:right w:val="single" w:color="auto" w:sz="4" w:space="0"/>
            </w:tcBorders>
            <w:vAlign w:val="center"/>
          </w:tcPr>
          <w:p w14:paraId="46FB4DBF">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工程师</w:t>
            </w:r>
          </w:p>
        </w:tc>
        <w:tc>
          <w:tcPr>
            <w:tcW w:w="812" w:type="pct"/>
            <w:tcBorders>
              <w:top w:val="single" w:color="000000" w:sz="2" w:space="0"/>
              <w:left w:val="single" w:color="auto" w:sz="4" w:space="0"/>
              <w:bottom w:val="single" w:color="000000" w:sz="2" w:space="0"/>
              <w:right w:val="single" w:color="auto" w:sz="4" w:space="0"/>
            </w:tcBorders>
            <w:vAlign w:val="center"/>
          </w:tcPr>
          <w:p w14:paraId="47D7740A">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rPr>
            </w:pPr>
            <w:r>
              <w:rPr>
                <w:rFonts w:hint="eastAsia" w:ascii="仿宋_GB2312" w:hAnsi="仿宋_GB2312" w:cs="仿宋_GB2312"/>
                <w:sz w:val="24"/>
              </w:rPr>
              <w:t>检验检测、技术开发</w:t>
            </w:r>
          </w:p>
        </w:tc>
        <w:tc>
          <w:tcPr>
            <w:tcW w:w="1413" w:type="pct"/>
            <w:tcBorders>
              <w:top w:val="single" w:color="auto" w:sz="4" w:space="0"/>
              <w:left w:val="single" w:color="auto" w:sz="4" w:space="0"/>
              <w:bottom w:val="single" w:color="auto" w:sz="4" w:space="0"/>
              <w:right w:val="single" w:color="auto" w:sz="4" w:space="0"/>
            </w:tcBorders>
            <w:shd w:val="clear" w:color="auto" w:fill="auto"/>
            <w:vAlign w:val="center"/>
          </w:tcPr>
          <w:p w14:paraId="21333277">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钦州市检验检测中心</w:t>
            </w:r>
          </w:p>
        </w:tc>
        <w:tc>
          <w:tcPr>
            <w:tcW w:w="1395" w:type="pct"/>
            <w:tcBorders>
              <w:top w:val="single" w:color="auto" w:sz="4" w:space="0"/>
              <w:left w:val="single" w:color="auto" w:sz="4" w:space="0"/>
              <w:bottom w:val="single" w:color="auto" w:sz="4" w:space="0"/>
              <w:right w:val="single" w:color="auto" w:sz="4" w:space="0"/>
            </w:tcBorders>
            <w:vAlign w:val="center"/>
          </w:tcPr>
          <w:p w14:paraId="582A382D">
            <w:pPr>
              <w:keepNext w:val="0"/>
              <w:keepLines w:val="0"/>
              <w:suppressLineNumbers w:val="0"/>
              <w:spacing w:before="0" w:beforeAutospacing="0" w:after="0" w:afterAutospacing="0"/>
              <w:ind w:left="0" w:right="0" w:firstLine="0" w:firstLineChars="0"/>
              <w:jc w:val="center"/>
              <w:rPr>
                <w:rFonts w:hint="default" w:ascii="仿宋_GB2312" w:hAnsi="仿宋_GB2312" w:cs="仿宋_GB2312"/>
                <w:sz w:val="24"/>
                <w:lang w:bidi="ar"/>
              </w:rPr>
            </w:pPr>
            <w:r>
              <w:rPr>
                <w:rFonts w:hint="eastAsia" w:ascii="仿宋_GB2312" w:hAnsi="仿宋_GB2312" w:cs="仿宋_GB2312"/>
                <w:sz w:val="24"/>
                <w:lang w:bidi="ar"/>
              </w:rPr>
              <w:t>对标准实施情况进行总结分析，不断对团体标准提出修正意见。</w:t>
            </w:r>
          </w:p>
        </w:tc>
      </w:tr>
    </w:tbl>
    <w:p w14:paraId="478B4DED">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二、制定标准的必要性和意义</w:t>
      </w:r>
    </w:p>
    <w:p w14:paraId="510702C2">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碱性嫩黄又名金胺、奥拉明O，是一种黄色的工业染料，呈均匀粉末状，主要用于麻、纸、皮革、草编织品、人造丝等的染色，碱性嫩黄进入环境中还会对水体、土壤等造成污染，影响生态平衡。此外，因为其嫩黄色的外表，某些不法榴莲工厂为使榴莲皮色好看，会使用碱性嫩黄对榴莲外皮进行染色，但碱性嫩黄对人的皮肤黏膜有刺激性，可引起结膜炎、皮炎和上呼吸道刺激症状，人接触或者吸入碱性嫩黄都会引起中毒。长期过量食用，将对人体肾脏、肝脏造成损害甚至致癌。碱性嫩黄也被世界卫生组织（WHO）列入2B类致癌物，且早在2008年我国卫生部就将其列为非食用物质。近年来，进口榴莲在中国市场上备受欢迎，但同时也出现了一些食品安全问题。中国海关监管机构对出口到中国的泰国榴莲进行食品安全检查时，发现不法榴莲加工厂对榴莲使用了一种“碱性嫩黄”的化学工业燃料进行染色。2025年1月10日起，中国海关总署对所有进口榴莲（包括越南、泰国等）实行每票取样，新增检测项目“碱性嫩黄”，送检率达到100%，且在检测期间不可提离。</w:t>
      </w:r>
    </w:p>
    <w:p w14:paraId="0966E212">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广西是中国重要的榴莲进口基地，大量榴莲的进口增加了广西的贸易额，推动了广西对外贸易的快速发展，提升了广西在全国乃至全球贸易中的地位。2023年广西进口鲜榴莲87.9亿元，同比增长185.9%。广西榴莲进口量和进口金额在全国榴莲进口量及进口金额中所占的比重分别为18.51%、18.6%。榴莲进口带动了相带动了广西物流、仓储、包装等相关产业的发展。榴莲进口贸易的各个环节，如装卸、运输、仓储、销售等，增加了大量的就业机会，为当地居民提供了丰富的就业机会，缓解了就业压力，增加了居民收入。榴莲进口的繁荣促进了广西边境口岸城市的经济发展，极大地促进了包括榴莲在内的水果贸易，带动了当地商业、餐饮、住宿等相关服务业的繁荣，提升了口岸城市的经济活力和综合竞争力。</w:t>
      </w:r>
    </w:p>
    <w:p w14:paraId="332F5DF3">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检测碱性嫩黄可有效防止其进入市场，保护消费者身体健康，有助于打击非法添加和滥用添加剂的行为，规范进口榴莲市场秩序，促使进口商和生产商遵守相关法规，确保市场上的榴莲产品符合食品安全标准，维护公平竞争的市场环境。目前，碱性嫩黄O的检测方法主要有：（1）高效液相色谱法：使用HPLC可以精确地分离和检测样品中的碱性嫩黄O成分，但存在样品前处理复杂，仪器昂贵等缺点；（2）分光光度法：利用碱性嫩黄O在特定波长下有吸收峰的特性，通过检测其吸光度来判断其含量，但存在前处理复杂、准确度低等缺点；（3）拉曼光谱法：可用于出口饮料中的碱性嫩黄O进行快速筛查，具有快速、无损、无需复杂样品预处理等优点，但可能存在灵敏度不够高、受杂质影响大等缺点；（4）超高效液相色谱-串联质谱法：可以同时检测食品中的碱性嫩黄O和其他成分，具有快速、无损、无需复杂样品预处理等优点，以上方法各有优缺点，也都需要在实验室条件下进行检测，并由专业技术人员进行操作和解读结果。而且，目前我国只发布了针对一般食品或特定类别食品中碱性嫩黄的检测方法标准，对于榴莲这种具有特殊性且近年来才大量进口的水果还没有专门针对进口水果榴莲基体检测方法标准。起草单位中国检验认证集团广西有限公司建立了榴莲中碱性嫩黄的液相色谱-串联质谱仪法，并开发了无需使用固相萃取柱的前处理方法，使用了前处理QuECHERS方法包，该方法前处理速度快，成本低、回收率、精确度和准确度高等优点。起草单位从2023年起就开发了液相色谱-串联质谱仪法用于检测榴莲中碱性嫩黄O，用液相色谱-串联质谱仪法已检测了50多批次榴莲样品，且已在中国中检越南公司、中国中检广西公司技术中心北海分中心等2家单位有验证及应用，技术十分成熟，能够很好的满足企业日常监控榴莲产品安全的需求，降低企业生产成本，应用推广前景乐观。</w:t>
      </w:r>
    </w:p>
    <w:p w14:paraId="139F5B64">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因此，通过制定团体标准《榴莲中碱性嫩黄的测定 液相色谱-串联质谱法》，以标准为抓手，重点解决榴莲中碱性嫩黄O的检测难点技术问题，对提高榴莲中碱性嫩黄的测定效率，保障榴莲的食品安全，促进榴莲产业高质量发展具有重要意义。</w:t>
      </w:r>
    </w:p>
    <w:p w14:paraId="336AC09F">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三、主要起草过程</w:t>
      </w:r>
    </w:p>
    <w:p w14:paraId="79E5F9B6">
      <w:pPr>
        <w:ind w:firstLine="643"/>
        <w:rPr>
          <w:rFonts w:ascii="仿宋_GB2312" w:hAnsi="仿宋_GB2312" w:cs="仿宋_GB2312"/>
          <w:szCs w:val="28"/>
        </w:rPr>
      </w:pPr>
      <w:r>
        <w:rPr>
          <w:rFonts w:hint="eastAsia" w:ascii="仿宋_GB2312" w:hAnsi="仿宋_GB2312" w:cs="仿宋_GB2312"/>
          <w:b/>
          <w:szCs w:val="28"/>
        </w:rPr>
        <w:t>（一）成立标准编制工作组</w:t>
      </w:r>
    </w:p>
    <w:p w14:paraId="191A900D">
      <w:pPr>
        <w:ind w:firstLine="640"/>
        <w:rPr>
          <w:rFonts w:ascii="仿宋_GB2312" w:hAnsi="仿宋_GB2312" w:cs="仿宋_GB2312"/>
          <w:szCs w:val="28"/>
        </w:rPr>
      </w:pPr>
      <w:r>
        <w:rPr>
          <w:rFonts w:hint="eastAsia" w:ascii="仿宋_GB2312" w:hAnsi="仿宋_GB2312" w:cs="仿宋_GB2312"/>
          <w:szCs w:val="28"/>
        </w:rPr>
        <w:t>团体标准《榴莲中碱性嫩黄O的测定  液相色谱-串联质谱法》项目任务下达后，中国检验认证集团广西有限公司成立了标准编制工作组，起草单位制定了起草编写方案与进度安排，明确任务职责，确定工作技术路线，开展标准研制工作。具体标准编制工作由中国检验认证集团广西有限公司、中国检验认证集团越南有限公司、南宁海关技术中心、广西中检检测技术服务有限公司、广西大学轻工与食品工程学院、广西环保产业发展研究院有限公司、东兴海关综合技术服务中心、防城港检验检测中心、钦州市检验检测中心、凭祥海关综合技术服务中心、广西标准化协会等单位负责人组成的标准编制工作组完成。</w:t>
      </w:r>
    </w:p>
    <w:p w14:paraId="507BD503">
      <w:pPr>
        <w:ind w:firstLine="640"/>
        <w:rPr>
          <w:rFonts w:ascii="仿宋_GB2312" w:hAnsi="仿宋_GB2312" w:cs="仿宋_GB2312"/>
          <w:szCs w:val="28"/>
        </w:rPr>
      </w:pPr>
      <w:r>
        <w:rPr>
          <w:rFonts w:hint="eastAsia" w:ascii="仿宋_GB2312" w:hAnsi="仿宋_GB2312" w:cs="仿宋_GB2312"/>
          <w:szCs w:val="28"/>
        </w:rPr>
        <w:t>编制工作组下设三个组，分别是资料收集组、草案编写组、标准实施组。</w:t>
      </w:r>
    </w:p>
    <w:p w14:paraId="4538FF66">
      <w:pPr>
        <w:ind w:firstLine="640"/>
        <w:rPr>
          <w:rFonts w:ascii="仿宋_GB2312" w:hAnsi="仿宋_GB2312" w:cs="仿宋_GB2312"/>
          <w:szCs w:val="28"/>
        </w:rPr>
      </w:pPr>
      <w:r>
        <w:rPr>
          <w:rFonts w:hint="eastAsia" w:ascii="仿宋_GB2312" w:hAnsi="仿宋_GB2312" w:cs="仿宋_GB2312"/>
          <w:szCs w:val="28"/>
        </w:rPr>
        <w:t>资料收集组负责国内外有关榴莲中碱性嫩黄O的测定的文献资料的查询、收集和整理工作，查阅前人对榴莲中碱性嫩黄O的测定的研究情况。</w:t>
      </w:r>
    </w:p>
    <w:p w14:paraId="5D5A8D5A">
      <w:pPr>
        <w:ind w:firstLine="640"/>
        <w:rPr>
          <w:rFonts w:ascii="仿宋_GB2312" w:hAnsi="仿宋_GB2312" w:cs="仿宋_GB2312"/>
          <w:szCs w:val="28"/>
        </w:rPr>
      </w:pPr>
      <w:r>
        <w:rPr>
          <w:rFonts w:hint="eastAsia" w:ascii="仿宋_GB2312" w:hAnsi="仿宋_GB2312" w:cs="仿宋_GB2312"/>
          <w:szCs w:val="28"/>
        </w:rPr>
        <w:t>草案编写组负责起草标准草案、征求意见稿和标准编制说明、送审稿及编制说明的编写工作，包括后期召开征求意见会、网上征求意见，以及标准的不断修改和完善。</w:t>
      </w:r>
    </w:p>
    <w:p w14:paraId="7C8C017C">
      <w:pPr>
        <w:ind w:firstLine="640"/>
        <w:rPr>
          <w:rFonts w:ascii="仿宋_GB2312" w:hAnsi="仿宋_GB2312" w:cs="仿宋_GB2312"/>
          <w:szCs w:val="28"/>
        </w:rPr>
      </w:pPr>
      <w:r>
        <w:rPr>
          <w:rFonts w:hint="eastAsia" w:ascii="仿宋_GB2312" w:hAnsi="仿宋_GB2312" w:cs="仿宋_GB2312"/>
          <w:szCs w:val="28"/>
        </w:rPr>
        <w:t>标准实施组负责团体标准《榴莲中碱性嫩黄O的测定  液相色谱-串联质谱法》发布后，组织相关企事业单位开展标准宣贯培训会，对标准进行详细解读，让相关人员了解标准，并根据标准对液相色谱-串联质谱法测定榴莲中碱性嫩黄O含量进行规范化操作，并对标准实施情况进行总结分析，不断对团体标准提出修正意见。</w:t>
      </w:r>
    </w:p>
    <w:p w14:paraId="08309EED">
      <w:pPr>
        <w:ind w:firstLine="643"/>
        <w:rPr>
          <w:rFonts w:ascii="仿宋_GB2312" w:hAnsi="仿宋_GB2312" w:cs="仿宋_GB2312"/>
          <w:b/>
          <w:szCs w:val="28"/>
        </w:rPr>
      </w:pPr>
      <w:r>
        <w:rPr>
          <w:rFonts w:hint="eastAsia" w:ascii="仿宋_GB2312" w:hAnsi="仿宋_GB2312" w:cs="仿宋_GB2312"/>
          <w:b/>
          <w:szCs w:val="28"/>
        </w:rPr>
        <w:t>（二）收集整理文献资料</w:t>
      </w:r>
    </w:p>
    <w:p w14:paraId="282817F1">
      <w:pPr>
        <w:ind w:firstLine="640"/>
        <w:rPr>
          <w:rFonts w:ascii="仿宋_GB2312" w:hAnsi="仿宋_GB2312" w:cs="仿宋_GB2312"/>
          <w:szCs w:val="28"/>
          <w:lang w:val="fr-FR"/>
        </w:rPr>
      </w:pPr>
      <w:r>
        <w:rPr>
          <w:rFonts w:hint="eastAsia" w:ascii="仿宋_GB2312" w:hAnsi="仿宋_GB2312" w:cs="仿宋_GB2312"/>
          <w:szCs w:val="28"/>
        </w:rPr>
        <w:t>标准编制工作组收集了国内有关“榴莲中碱性嫩黄O的测定  液相色谱-串联质谱法”相关文献资料。主要有</w:t>
      </w:r>
      <w:r>
        <w:rPr>
          <w:rFonts w:hint="eastAsia" w:ascii="仿宋_GB2312" w:hAnsi="仿宋_GB2312" w:cs="仿宋_GB2312"/>
          <w:szCs w:val="28"/>
          <w:lang w:val="fr-FR"/>
        </w:rPr>
        <w:t>：</w:t>
      </w:r>
    </w:p>
    <w:p w14:paraId="40DB5B74">
      <w:pPr>
        <w:ind w:firstLine="640"/>
        <w:rPr>
          <w:rFonts w:hint="eastAsia" w:ascii="仿宋_GB2312" w:hAnsi="仿宋_GB2312" w:cs="仿宋_GB2312"/>
          <w:szCs w:val="28"/>
        </w:rPr>
      </w:pPr>
      <w:r>
        <w:rPr>
          <w:rFonts w:hint="eastAsia" w:ascii="仿宋_GB2312" w:hAnsi="仿宋_GB2312" w:cs="仿宋_GB2312"/>
          <w:szCs w:val="28"/>
        </w:rPr>
        <w:t>SN/T 5610.1-2024</w:t>
      </w:r>
      <w:r>
        <w:rPr>
          <w:rFonts w:hint="eastAsia" w:ascii="仿宋_GB2312" w:hAnsi="仿宋_GB2312" w:cs="仿宋_GB2312"/>
          <w:szCs w:val="28"/>
          <w:lang w:val="en-US" w:eastAsia="zh-CN"/>
        </w:rPr>
        <w:t xml:space="preserve">  </w:t>
      </w:r>
      <w:r>
        <w:rPr>
          <w:rFonts w:hint="eastAsia" w:ascii="仿宋_GB2312" w:hAnsi="仿宋_GB2312" w:cs="仿宋_GB2312"/>
          <w:szCs w:val="28"/>
        </w:rPr>
        <w:t>进出口纺织品 碱性嫩黄的测定 第1部分：液相色谱法</w:t>
      </w:r>
    </w:p>
    <w:p w14:paraId="47537790">
      <w:pPr>
        <w:ind w:firstLine="640"/>
        <w:rPr>
          <w:rFonts w:hint="eastAsia" w:ascii="仿宋_GB2312" w:hAnsi="仿宋_GB2312" w:cs="仿宋_GB2312"/>
          <w:szCs w:val="28"/>
        </w:rPr>
      </w:pPr>
      <w:r>
        <w:rPr>
          <w:rFonts w:hint="eastAsia" w:ascii="仿宋_GB2312" w:hAnsi="仿宋_GB2312" w:cs="仿宋_GB2312"/>
          <w:szCs w:val="28"/>
        </w:rPr>
        <w:t>SN/T 5610.2-2024</w:t>
      </w:r>
      <w:r>
        <w:rPr>
          <w:rFonts w:hint="eastAsia" w:ascii="仿宋_GB2312" w:hAnsi="仿宋_GB2312" w:cs="仿宋_GB2312"/>
          <w:szCs w:val="28"/>
          <w:lang w:val="en-US" w:eastAsia="zh-CN"/>
        </w:rPr>
        <w:t xml:space="preserve">  </w:t>
      </w:r>
      <w:r>
        <w:rPr>
          <w:rFonts w:hint="eastAsia" w:ascii="仿宋_GB2312" w:hAnsi="仿宋_GB2312" w:cs="仿宋_GB2312"/>
          <w:szCs w:val="28"/>
        </w:rPr>
        <w:t>进出口纺织品 碱性嫩黄的测定 第2部分：液相色谱-串联质谱法</w:t>
      </w:r>
    </w:p>
    <w:p w14:paraId="51C28C36">
      <w:pPr>
        <w:ind w:firstLine="640"/>
        <w:rPr>
          <w:rFonts w:hint="eastAsia" w:ascii="仿宋_GB2312" w:hAnsi="仿宋_GB2312" w:cs="仿宋_GB2312"/>
          <w:szCs w:val="28"/>
        </w:rPr>
      </w:pPr>
      <w:r>
        <w:rPr>
          <w:rFonts w:hint="eastAsia" w:ascii="仿宋_GB2312" w:hAnsi="仿宋_GB2312" w:cs="仿宋_GB2312"/>
          <w:szCs w:val="28"/>
        </w:rPr>
        <w:t>SN/T 5643.2-2023</w:t>
      </w:r>
      <w:r>
        <w:rPr>
          <w:rFonts w:hint="eastAsia" w:ascii="仿宋_GB2312" w:hAnsi="仿宋_GB2312" w:cs="仿宋_GB2312"/>
          <w:szCs w:val="28"/>
          <w:lang w:val="en-US" w:eastAsia="zh-CN"/>
        </w:rPr>
        <w:t xml:space="preserve">  </w:t>
      </w:r>
      <w:r>
        <w:rPr>
          <w:rFonts w:hint="eastAsia" w:ascii="仿宋_GB2312" w:hAnsi="仿宋_GB2312" w:cs="仿宋_GB2312"/>
          <w:szCs w:val="28"/>
        </w:rPr>
        <w:t>出口食品中化学污染物的快速检测方法 第2部分：碱性嫩黄O的测定 拉曼光谱法</w:t>
      </w:r>
    </w:p>
    <w:p w14:paraId="1F792A2B">
      <w:pPr>
        <w:ind w:firstLine="640"/>
        <w:rPr>
          <w:rFonts w:hint="eastAsia" w:ascii="仿宋_GB2312" w:hAnsi="仿宋_GB2312" w:cs="仿宋_GB2312"/>
          <w:szCs w:val="28"/>
        </w:rPr>
      </w:pPr>
      <w:r>
        <w:rPr>
          <w:rFonts w:hint="eastAsia" w:ascii="仿宋_GB2312" w:hAnsi="仿宋_GB2312" w:cs="仿宋_GB2312"/>
          <w:szCs w:val="28"/>
        </w:rPr>
        <w:t>BJS 202204</w:t>
      </w:r>
      <w:r>
        <w:rPr>
          <w:rFonts w:hint="eastAsia" w:ascii="仿宋_GB2312" w:hAnsi="仿宋_GB2312" w:cs="仿宋_GB2312"/>
          <w:szCs w:val="28"/>
          <w:lang w:val="en-US" w:eastAsia="zh-CN"/>
        </w:rPr>
        <w:t xml:space="preserve">  </w:t>
      </w:r>
      <w:r>
        <w:rPr>
          <w:rFonts w:hint="eastAsia" w:ascii="仿宋_GB2312" w:hAnsi="仿宋_GB2312" w:cs="仿宋_GB2312"/>
          <w:szCs w:val="28"/>
        </w:rPr>
        <w:t>豆制品中碱性嫩黄等11种工业染料的测定</w:t>
      </w:r>
    </w:p>
    <w:p w14:paraId="383ED308">
      <w:pPr>
        <w:ind w:firstLine="640"/>
        <w:rPr>
          <w:rFonts w:ascii="仿宋_GB2312" w:hAnsi="仿宋_GB2312" w:cs="仿宋_GB2312"/>
          <w:szCs w:val="28"/>
        </w:rPr>
      </w:pPr>
      <w:r>
        <w:rPr>
          <w:rFonts w:hint="eastAsia" w:ascii="仿宋_GB2312" w:hAnsi="仿宋_GB2312" w:cs="仿宋_GB2312"/>
          <w:szCs w:val="28"/>
        </w:rPr>
        <w:t>DB35/T 897-2009</w:t>
      </w:r>
      <w:r>
        <w:rPr>
          <w:rFonts w:hint="eastAsia" w:ascii="仿宋_GB2312" w:hAnsi="仿宋_GB2312" w:cs="仿宋_GB2312"/>
          <w:szCs w:val="28"/>
          <w:lang w:val="en-US" w:eastAsia="zh-CN"/>
        </w:rPr>
        <w:t xml:space="preserve">  </w:t>
      </w:r>
      <w:r>
        <w:rPr>
          <w:rFonts w:hint="eastAsia" w:ascii="仿宋_GB2312" w:hAnsi="仿宋_GB2312" w:cs="仿宋_GB2312"/>
          <w:szCs w:val="28"/>
        </w:rPr>
        <w:t>食品中碱性橙、碱性嫩黄O和碱性桃红T含量的测定</w:t>
      </w:r>
    </w:p>
    <w:p w14:paraId="43FE08E4">
      <w:pPr>
        <w:ind w:firstLine="643"/>
        <w:rPr>
          <w:rFonts w:ascii="仿宋_GB2312" w:hAnsi="仿宋_GB2312" w:cs="仿宋_GB2312"/>
          <w:b/>
          <w:szCs w:val="28"/>
        </w:rPr>
      </w:pPr>
      <w:r>
        <w:rPr>
          <w:rFonts w:hint="eastAsia" w:ascii="仿宋_GB2312" w:hAnsi="仿宋_GB2312" w:cs="仿宋_GB2312"/>
          <w:b/>
          <w:szCs w:val="28"/>
        </w:rPr>
        <w:t>（三）研讨确定标准特色、创新点和主体内容</w:t>
      </w:r>
    </w:p>
    <w:p w14:paraId="2F2E47CA">
      <w:pPr>
        <w:ind w:firstLine="640"/>
        <w:rPr>
          <w:rFonts w:ascii="仿宋_GB2312" w:hAnsi="仿宋_GB2312" w:cs="仿宋_GB2312"/>
          <w:szCs w:val="28"/>
        </w:rPr>
      </w:pPr>
      <w:r>
        <w:rPr>
          <w:rFonts w:hint="eastAsia" w:ascii="仿宋_GB2312" w:hAnsi="仿宋_GB2312" w:cs="仿宋_GB2312"/>
          <w:szCs w:val="28"/>
        </w:rPr>
        <w:t>1、标准特色和创新点</w:t>
      </w:r>
    </w:p>
    <w:p w14:paraId="61FCEF30">
      <w:pPr>
        <w:ind w:firstLine="640"/>
        <w:rPr>
          <w:rFonts w:hint="eastAsia" w:ascii="仿宋_GB2312" w:hAnsi="仿宋_GB2312" w:cs="仿宋_GB2312"/>
          <w:szCs w:val="28"/>
        </w:rPr>
      </w:pPr>
      <w:r>
        <w:rPr>
          <w:rFonts w:hint="eastAsia" w:ascii="仿宋_GB2312" w:hAnsi="仿宋_GB2312" w:cs="仿宋_GB2312"/>
          <w:szCs w:val="28"/>
          <w:lang w:eastAsia="zh-CN"/>
        </w:rPr>
        <w:t>（</w:t>
      </w:r>
      <w:r>
        <w:rPr>
          <w:rFonts w:hint="eastAsia" w:ascii="仿宋_GB2312" w:hAnsi="仿宋_GB2312" w:cs="仿宋_GB2312"/>
          <w:szCs w:val="28"/>
          <w:lang w:val="en-US" w:eastAsia="zh-CN"/>
        </w:rPr>
        <w:t>1）</w:t>
      </w:r>
      <w:r>
        <w:rPr>
          <w:rFonts w:hint="eastAsia" w:ascii="仿宋_GB2312" w:hAnsi="仿宋_GB2312" w:cs="仿宋_GB2312"/>
          <w:szCs w:val="28"/>
        </w:rPr>
        <w:t>建立了榴莲中碱性嫩黄的液相色谱-串联质谱检测方法，填补了该基质中工业染料检测标准的空白。可用于榴莲贸易中碱性嫩黄的日常监控检测，为生产、流通及监管提供有效技术支撑，推动检测资源整合与标准应用。</w:t>
      </w:r>
    </w:p>
    <w:p w14:paraId="6DA9CAA6">
      <w:pPr>
        <w:ind w:firstLine="640"/>
        <w:rPr>
          <w:rFonts w:hint="eastAsia" w:ascii="仿宋_GB2312" w:hAnsi="仿宋_GB2312" w:cs="仿宋_GB2312"/>
          <w:szCs w:val="28"/>
        </w:rPr>
      </w:pPr>
      <w:r>
        <w:rPr>
          <w:rFonts w:hint="eastAsia" w:ascii="仿宋_GB2312" w:hAnsi="仿宋_GB2312" w:cs="仿宋_GB2312"/>
          <w:szCs w:val="28"/>
          <w:lang w:eastAsia="zh-CN"/>
        </w:rPr>
        <w:t>（</w:t>
      </w:r>
      <w:r>
        <w:rPr>
          <w:rFonts w:hint="eastAsia" w:ascii="仿宋_GB2312" w:hAnsi="仿宋_GB2312" w:cs="仿宋_GB2312"/>
          <w:szCs w:val="28"/>
          <w:lang w:val="en-US" w:eastAsia="zh-CN"/>
        </w:rPr>
        <w:t>2）</w:t>
      </w:r>
      <w:r>
        <w:rPr>
          <w:rFonts w:hint="eastAsia" w:ascii="仿宋_GB2312" w:hAnsi="仿宋_GB2312" w:cs="仿宋_GB2312"/>
          <w:szCs w:val="28"/>
        </w:rPr>
        <w:t>规范了榴莲皮、肉的制样流程，采用QuEChERS前处理方法，无需固相萃取柱，省去萃取、旋蒸、氮吹等步骤，操作时间缩短50%，且仅用乙腈提取，降低了成本。</w:t>
      </w:r>
    </w:p>
    <w:p w14:paraId="7B03494F">
      <w:pPr>
        <w:ind w:firstLine="640"/>
        <w:rPr>
          <w:rFonts w:ascii="仿宋_GB2312" w:hAnsi="仿宋_GB2312" w:cs="仿宋_GB2312"/>
          <w:szCs w:val="28"/>
        </w:rPr>
      </w:pPr>
      <w:r>
        <w:rPr>
          <w:rFonts w:hint="eastAsia" w:ascii="仿宋_GB2312" w:hAnsi="仿宋_GB2312" w:cs="仿宋_GB2312"/>
          <w:szCs w:val="28"/>
        </w:rPr>
        <w:t>2、主体内容</w:t>
      </w:r>
    </w:p>
    <w:p w14:paraId="35AE3BA6">
      <w:pPr>
        <w:ind w:firstLine="640"/>
        <w:rPr>
          <w:rFonts w:ascii="仿宋_GB2312" w:hAnsi="仿宋_GB2312" w:cs="仿宋_GB2312"/>
          <w:szCs w:val="28"/>
        </w:rPr>
      </w:pPr>
      <w:r>
        <w:rPr>
          <w:rFonts w:hint="eastAsia" w:ascii="仿宋_GB2312" w:hAnsi="仿宋_GB2312" w:cs="仿宋_GB2312"/>
          <w:szCs w:val="28"/>
        </w:rPr>
        <w:t>标准编制工作组在对收集的资料进行整理研究之后，准编制工作组召开了标准编制会议，对标准的整体框架结构进行了研究，并对标准的关键性内容进行了初步探讨。经过研究，标准的主体内容确定为试剂</w:t>
      </w:r>
      <w:r>
        <w:rPr>
          <w:rFonts w:hint="eastAsia" w:ascii="仿宋_GB2312" w:hAnsi="仿宋_GB2312" w:cs="仿宋_GB2312"/>
          <w:szCs w:val="28"/>
          <w:lang w:val="en-US" w:eastAsia="zh-CN"/>
        </w:rPr>
        <w:t>与试验方法</w:t>
      </w:r>
      <w:r>
        <w:rPr>
          <w:rFonts w:hint="eastAsia" w:ascii="仿宋_GB2312" w:hAnsi="仿宋_GB2312" w:cs="仿宋_GB2312"/>
          <w:szCs w:val="28"/>
        </w:rPr>
        <w:t>、仪器和设备、</w:t>
      </w:r>
      <w:r>
        <w:rPr>
          <w:rFonts w:hint="eastAsia" w:ascii="仿宋_GB2312" w:hAnsi="仿宋_GB2312" w:cs="仿宋_GB2312"/>
          <w:szCs w:val="28"/>
          <w:lang w:val="en-US" w:eastAsia="zh-CN"/>
        </w:rPr>
        <w:t>分析</w:t>
      </w:r>
      <w:r>
        <w:rPr>
          <w:rFonts w:hint="eastAsia" w:ascii="仿宋_GB2312" w:hAnsi="仿宋_GB2312" w:cs="仿宋_GB2312"/>
          <w:szCs w:val="28"/>
        </w:rPr>
        <w:t>步骤、结果计算、</w:t>
      </w:r>
      <w:r>
        <w:rPr>
          <w:rFonts w:hint="eastAsia" w:ascii="仿宋_GB2312" w:hAnsi="仿宋_GB2312" w:cs="仿宋_GB2312"/>
          <w:szCs w:val="28"/>
          <w:lang w:val="en-US" w:eastAsia="zh-CN"/>
        </w:rPr>
        <w:t>回收率与</w:t>
      </w:r>
      <w:r>
        <w:rPr>
          <w:rFonts w:hint="eastAsia" w:ascii="仿宋_GB2312" w:hAnsi="仿宋_GB2312" w:cs="仿宋_GB2312"/>
          <w:szCs w:val="28"/>
        </w:rPr>
        <w:t>精密度。</w:t>
      </w:r>
    </w:p>
    <w:p w14:paraId="0CEDD8D2">
      <w:pPr>
        <w:ind w:firstLine="643"/>
        <w:rPr>
          <w:rFonts w:ascii="仿宋_GB2312" w:hAnsi="仿宋_GB2312" w:cs="仿宋_GB2312"/>
          <w:b/>
          <w:szCs w:val="28"/>
        </w:rPr>
      </w:pPr>
      <w:r>
        <w:rPr>
          <w:rFonts w:hint="eastAsia" w:ascii="仿宋_GB2312" w:hAnsi="仿宋_GB2312" w:cs="仿宋_GB2312"/>
          <w:b/>
          <w:szCs w:val="28"/>
        </w:rPr>
        <w:t>（四）调研及形成草案、征求意见稿</w:t>
      </w:r>
    </w:p>
    <w:p w14:paraId="19B49BAD">
      <w:pPr>
        <w:ind w:firstLine="640"/>
        <w:rPr>
          <w:rFonts w:ascii="仿宋_GB2312" w:hAnsi="仿宋_GB2312" w:cs="仿宋_GB2312"/>
          <w:szCs w:val="28"/>
        </w:rPr>
      </w:pPr>
      <w:r>
        <w:rPr>
          <w:rFonts w:hint="eastAsia" w:ascii="仿宋_GB2312" w:hAnsi="仿宋_GB2312" w:cs="仿宋_GB2312"/>
          <w:szCs w:val="28"/>
        </w:rPr>
        <w:t>2025年</w:t>
      </w:r>
      <w:r>
        <w:rPr>
          <w:rFonts w:hint="eastAsia" w:ascii="仿宋_GB2312" w:hAnsi="仿宋_GB2312" w:cs="仿宋_GB2312"/>
          <w:szCs w:val="28"/>
          <w:lang w:val="en-US" w:eastAsia="zh-CN"/>
        </w:rPr>
        <w:t>5-7</w:t>
      </w:r>
      <w:r>
        <w:rPr>
          <w:rFonts w:hint="eastAsia" w:ascii="仿宋_GB2312" w:hAnsi="仿宋_GB2312" w:cs="仿宋_GB2312"/>
          <w:szCs w:val="28"/>
        </w:rPr>
        <w:t>月，标准起草工作小组进行了广泛调研工作，查阅了大量的国内外文献资料，对液相色谱-质谱法测定榴莲皮和榴莲肉中碱性嫩黄O的前人研究成果进行系统总结。形成了标准的基本构架，对主要内容进行了讨论并对项目的工作进行了部署和安排。</w:t>
      </w:r>
    </w:p>
    <w:p w14:paraId="03DB5871">
      <w:pPr>
        <w:ind w:firstLine="640"/>
        <w:rPr>
          <w:rFonts w:ascii="仿宋_GB2312" w:hAnsi="仿宋_GB2312" w:cs="仿宋_GB2312"/>
          <w:szCs w:val="28"/>
        </w:rPr>
      </w:pPr>
      <w:r>
        <w:rPr>
          <w:rFonts w:hint="eastAsia" w:ascii="仿宋_GB2312" w:hAnsi="仿宋_GB2312" w:cs="仿宋_GB2312"/>
          <w:szCs w:val="28"/>
        </w:rPr>
        <w:t>2025年</w:t>
      </w:r>
      <w:r>
        <w:rPr>
          <w:rFonts w:hint="eastAsia" w:ascii="仿宋_GB2312" w:hAnsi="仿宋_GB2312" w:cs="仿宋_GB2312"/>
          <w:szCs w:val="28"/>
          <w:lang w:val="en-US" w:eastAsia="zh-CN"/>
        </w:rPr>
        <w:t>8-12</w:t>
      </w:r>
      <w:r>
        <w:rPr>
          <w:rFonts w:hint="eastAsia" w:ascii="仿宋_GB2312" w:hAnsi="仿宋_GB2312" w:cs="仿宋_GB2312"/>
          <w:szCs w:val="28"/>
        </w:rPr>
        <w:t>月，在前期工作的基础之上，通过理清逻辑脉络，整合已有的参考资料中有关液相色谱-质谱法测定榴莲皮和榴莲肉中碱性嫩黄O</w:t>
      </w:r>
      <w:r>
        <w:rPr>
          <w:rFonts w:hint="eastAsia" w:ascii="仿宋_GB2312" w:hAnsi="仿宋_GB2312" w:cs="仿宋_GB2312"/>
          <w:szCs w:val="28"/>
          <w:lang w:val="en-US" w:eastAsia="zh-CN"/>
        </w:rPr>
        <w:t>的</w:t>
      </w:r>
      <w:r>
        <w:rPr>
          <w:rFonts w:hint="eastAsia" w:ascii="仿宋_GB2312" w:hAnsi="仿宋_GB2312" w:cs="仿宋_GB2312"/>
          <w:szCs w:val="28"/>
        </w:rPr>
        <w:t>要求，并结合液相色谱-质谱法测定榴莲皮和榴莲肉中碱性嫩黄O实际要求的基础上，按照简化、统一等原则编制完成团体标准《榴莲中碱性嫩黄O的测定  液相色谱-串联质谱法》（草案）。</w:t>
      </w:r>
    </w:p>
    <w:p w14:paraId="4AFC6F4B">
      <w:pPr>
        <w:ind w:firstLine="640"/>
        <w:rPr>
          <w:rFonts w:ascii="仿宋_GB2312" w:hAnsi="仿宋_GB2312" w:cs="仿宋_GB2312"/>
          <w:szCs w:val="28"/>
        </w:rPr>
      </w:pPr>
      <w:r>
        <w:rPr>
          <w:rFonts w:hint="eastAsia" w:ascii="仿宋_GB2312" w:hAnsi="仿宋_GB2312" w:cs="仿宋_GB2312"/>
          <w:szCs w:val="28"/>
        </w:rPr>
        <w:t>20</w:t>
      </w:r>
      <w:r>
        <w:rPr>
          <w:rFonts w:hint="eastAsia" w:ascii="仿宋_GB2312" w:hAnsi="仿宋_GB2312" w:cs="仿宋_GB2312"/>
          <w:szCs w:val="28"/>
          <w:lang w:val="en-US" w:eastAsia="zh-CN"/>
        </w:rPr>
        <w:t>26</w:t>
      </w:r>
      <w:r>
        <w:rPr>
          <w:rFonts w:hint="eastAsia" w:ascii="仿宋_GB2312" w:hAnsi="仿宋_GB2312" w:cs="仿宋_GB2312"/>
          <w:szCs w:val="28"/>
        </w:rPr>
        <w:t>年</w:t>
      </w:r>
      <w:r>
        <w:rPr>
          <w:rFonts w:hint="eastAsia" w:ascii="仿宋_GB2312" w:hAnsi="仿宋_GB2312" w:cs="仿宋_GB2312"/>
          <w:szCs w:val="28"/>
          <w:lang w:val="en-US" w:eastAsia="zh-CN"/>
        </w:rPr>
        <w:t>2-4</w:t>
      </w:r>
      <w:r>
        <w:rPr>
          <w:rFonts w:hint="eastAsia" w:ascii="仿宋_GB2312" w:hAnsi="仿宋_GB2312" w:cs="仿宋_GB2312"/>
          <w:szCs w:val="28"/>
        </w:rPr>
        <w:t>月，标准起草工作组到相关单位和科研机构进行调研，开展试验验证</w:t>
      </w:r>
      <w:r>
        <w:rPr>
          <w:rFonts w:hint="eastAsia" w:ascii="仿宋_GB2312" w:hAnsi="仿宋_GB2312" w:cs="仿宋_GB2312"/>
          <w:szCs w:val="28"/>
          <w:lang w:eastAsia="zh-CN"/>
        </w:rPr>
        <w:t>，</w:t>
      </w:r>
      <w:r>
        <w:rPr>
          <w:rFonts w:hint="eastAsia" w:ascii="仿宋_GB2312" w:hAnsi="仿宋_GB2312" w:cs="仿宋_GB2312"/>
          <w:szCs w:val="28"/>
        </w:rPr>
        <w:t>并实际征求意见，通过收集反馈了大量意见，标准编制工作组多次召开会议，对标准草案进行了反复修改和研究讨论。进一步讨论完善标准草案，形成团体标准《榴莲中碱性嫩黄O的测定  液相色谱-串联质谱法》（征求意见稿）和（征求意见稿）编制说明。</w:t>
      </w:r>
    </w:p>
    <w:p w14:paraId="4948C498">
      <w:pPr>
        <w:autoSpaceDE w:val="0"/>
        <w:autoSpaceDN w:val="0"/>
        <w:adjustRightInd w:val="0"/>
        <w:ind w:firstLine="640"/>
        <w:jc w:val="left"/>
        <w:rPr>
          <w:rFonts w:ascii="黑体" w:hAnsi="黑体" w:eastAsia="黑体" w:cs="仿宋_GB2312"/>
          <w:bCs/>
          <w:szCs w:val="32"/>
        </w:rPr>
      </w:pPr>
      <w:bookmarkStart w:id="0" w:name="_Toc526940083"/>
      <w:r>
        <w:rPr>
          <w:rFonts w:hint="eastAsia" w:ascii="黑体" w:hAnsi="黑体" w:eastAsia="黑体" w:cs="仿宋_GB2312"/>
          <w:bCs/>
          <w:szCs w:val="32"/>
        </w:rPr>
        <w:t>四、</w:t>
      </w:r>
      <w:bookmarkEnd w:id="0"/>
      <w:r>
        <w:rPr>
          <w:rFonts w:hint="eastAsia" w:ascii="黑体" w:hAnsi="黑体" w:eastAsia="黑体" w:cs="仿宋_GB2312"/>
          <w:bCs/>
          <w:szCs w:val="32"/>
        </w:rPr>
        <w:t>制定标准的原则和依据，与现行法律、法规的关系，与有关国家标准、行业标准的协调情况</w:t>
      </w:r>
    </w:p>
    <w:p w14:paraId="5E949E79">
      <w:pPr>
        <w:pStyle w:val="11"/>
        <w:ind w:firstLine="0" w:firstLineChars="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（一）编制原则</w:t>
      </w:r>
    </w:p>
    <w:p w14:paraId="4998E0A7">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1、实用性原则</w:t>
      </w:r>
    </w:p>
    <w:p w14:paraId="5F44EC0D">
      <w:pPr>
        <w:ind w:firstLine="640"/>
        <w:rPr>
          <w:rFonts w:ascii="仿宋_GB2312" w:hAnsi="仿宋_GB2312" w:cs="仿宋_GB2312"/>
          <w:szCs w:val="28"/>
        </w:rPr>
      </w:pPr>
      <w:r>
        <w:rPr>
          <w:rFonts w:hint="eastAsia" w:ascii="仿宋_GB2312" w:hAnsi="仿宋_GB2312" w:cs="仿宋_GB2312"/>
          <w:szCs w:val="28"/>
        </w:rPr>
        <w:t>本文件是在充分收集相关资料和文献，分析榴莲中碱性嫩黄O测定的当前现状，在现有相关液相色谱-质谱法测定榴莲皮和榴莲肉中碱性嫩黄O</w:t>
      </w:r>
      <w:r>
        <w:rPr>
          <w:rFonts w:hint="eastAsia" w:ascii="仿宋_GB2312" w:hAnsi="仿宋_GB2312" w:cs="仿宋_GB2312"/>
          <w:szCs w:val="28"/>
          <w:lang w:val="en-US" w:eastAsia="zh-CN"/>
        </w:rPr>
        <w:t>相关</w:t>
      </w:r>
      <w:r>
        <w:rPr>
          <w:rFonts w:hint="eastAsia" w:ascii="仿宋_GB2312" w:hAnsi="仿宋_GB2312" w:cs="仿宋_GB2312"/>
          <w:szCs w:val="28"/>
        </w:rPr>
        <w:t>要求的基础上，结合编制单位多年相关经验而总结起草的，符合当前榴莲中碱性嫩黄O的测定发展的方向，具有较强的实用性和可操作性。</w:t>
      </w:r>
    </w:p>
    <w:p w14:paraId="0D122102">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2、协调性原则</w:t>
      </w:r>
    </w:p>
    <w:p w14:paraId="761DFE1B">
      <w:pPr>
        <w:ind w:firstLine="640"/>
        <w:rPr>
          <w:rFonts w:ascii="仿宋_GB2312" w:hAnsi="仿宋_GB2312" w:cs="仿宋_GB2312"/>
          <w:szCs w:val="28"/>
        </w:rPr>
      </w:pPr>
      <w:r>
        <w:rPr>
          <w:rFonts w:hint="eastAsia" w:ascii="仿宋_GB2312" w:hAnsi="仿宋_GB2312" w:cs="仿宋_GB2312"/>
          <w:szCs w:val="28"/>
        </w:rPr>
        <w:t>本文件编写过程中注意了与榴莲中碱性嫩黄O的测定相关法律法规的协调问题，在内容上与现行法律法规、标准协调一致。</w:t>
      </w:r>
    </w:p>
    <w:p w14:paraId="12990E95">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3、规范性原则</w:t>
      </w:r>
    </w:p>
    <w:p w14:paraId="5D9BC240">
      <w:pPr>
        <w:ind w:firstLine="640"/>
        <w:rPr>
          <w:rFonts w:ascii="仿宋_GB2312" w:hAnsi="仿宋_GB2312" w:cs="仿宋_GB2312"/>
          <w:szCs w:val="28"/>
        </w:rPr>
      </w:pPr>
      <w:r>
        <w:rPr>
          <w:rFonts w:hint="eastAsia" w:ascii="仿宋_GB2312" w:hAnsi="仿宋_GB2312" w:cs="仿宋_GB2312"/>
          <w:szCs w:val="28"/>
        </w:rPr>
        <w:t>本文件严格参照GB/T 1.1—2020《标准化工作导则  第1部分：标准化文件的结构和起草规则》编写本标准的内容，保证标准的编写质量。</w:t>
      </w:r>
    </w:p>
    <w:p w14:paraId="253FA06B">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4、前瞻性原则</w:t>
      </w:r>
    </w:p>
    <w:p w14:paraId="5311579B">
      <w:pPr>
        <w:ind w:firstLine="640"/>
        <w:rPr>
          <w:rFonts w:ascii="仿宋_GB2312" w:hAnsi="仿宋_GB2312" w:cs="仿宋_GB2312"/>
          <w:szCs w:val="28"/>
        </w:rPr>
      </w:pPr>
      <w:r>
        <w:rPr>
          <w:rFonts w:hint="eastAsia" w:ascii="仿宋_GB2312" w:hAnsi="仿宋_GB2312" w:cs="仿宋_GB2312"/>
          <w:szCs w:val="28"/>
        </w:rPr>
        <w:t>本文件在兼顾当前区内榴莲中碱性嫩黄O的测定现实情况的同时，还考虑到了液相色谱-质谱法测定榴莲皮和榴莲肉中碱性嫩黄O技术快速发展的趋势和需要，在标准中体现了个别特色性、前瞻性和先进性条款，作为对液相色谱-质谱法测定榴莲皮和榴莲肉中碱性嫩黄O工作发展的指导。</w:t>
      </w:r>
    </w:p>
    <w:p w14:paraId="01092E42">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（二）编制依据</w:t>
      </w:r>
    </w:p>
    <w:p w14:paraId="35650685">
      <w:pPr>
        <w:ind w:firstLine="640"/>
        <w:rPr>
          <w:rFonts w:ascii="仿宋_GB2312" w:hAnsi="仿宋_GB2312" w:cs="仿宋_GB2312"/>
          <w:szCs w:val="32"/>
        </w:rPr>
      </w:pPr>
      <w:r>
        <w:rPr>
          <w:rFonts w:hint="eastAsia" w:ascii="仿宋_GB2312" w:hAnsi="仿宋_GB2312" w:cs="仿宋_GB2312"/>
          <w:szCs w:val="32"/>
        </w:rPr>
        <w:t>本标准严格按照GB/T 1.1—2020《标准化工作导则  第1部分：标准化文件的结构和起草规则》的规则起草，标准主要内容参考相关标准文件并结合起草单位多年的相关经验和实践验证情况总结进行起草。</w:t>
      </w:r>
    </w:p>
    <w:p w14:paraId="27242B1A">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（三）与现行法律、法规的关系，与有关国家标准、行业标准的协调情况</w:t>
      </w:r>
    </w:p>
    <w:p w14:paraId="7DAEAC35">
      <w:pPr>
        <w:ind w:firstLine="640"/>
        <w:rPr>
          <w:rFonts w:ascii="仿宋_GB2312" w:hAnsi="仿宋_GB2312" w:cs="仿宋_GB2312"/>
          <w:szCs w:val="32"/>
        </w:rPr>
      </w:pPr>
      <w:r>
        <w:rPr>
          <w:rFonts w:hint="eastAsia" w:ascii="仿宋_GB2312" w:hAnsi="仿宋_GB2312" w:cs="仿宋_GB2312"/>
          <w:szCs w:val="32"/>
        </w:rPr>
        <w:t>本编制工作组承诺本标准内容与各项指标不违反相关法律法规要求，且不低于国家强制性标准、推荐性国家标准和行业标准要求。</w:t>
      </w:r>
    </w:p>
    <w:p w14:paraId="32B8F01B">
      <w:pPr>
        <w:ind w:firstLine="640"/>
        <w:rPr>
          <w:rFonts w:ascii="仿宋_GB2312" w:hAnsi="仿宋_GB2312" w:cs="仿宋_GB2312"/>
          <w:szCs w:val="28"/>
        </w:rPr>
      </w:pPr>
      <w:r>
        <w:rPr>
          <w:rFonts w:hint="eastAsia" w:ascii="仿宋_GB2312" w:hAnsi="仿宋_GB2312" w:cs="仿宋_GB2312"/>
          <w:szCs w:val="28"/>
        </w:rPr>
        <w:t>经查阅，截至目前，暂无《榴莲中碱性嫩黄O的测定  液相色谱-串联质谱法》标准。</w:t>
      </w:r>
    </w:p>
    <w:p w14:paraId="0CB149C6">
      <w:pPr>
        <w:ind w:firstLine="640"/>
        <w:rPr>
          <w:rFonts w:hint="eastAsia" w:ascii="仿宋_GB2312" w:hAnsi="仿宋_GB2312" w:cs="仿宋_GB2312"/>
          <w:szCs w:val="28"/>
          <w:lang w:val="en-US" w:eastAsia="zh-CN"/>
        </w:rPr>
      </w:pPr>
      <w:r>
        <w:rPr>
          <w:rFonts w:hint="eastAsia" w:ascii="仿宋_GB2312" w:hAnsi="仿宋_GB2312" w:cs="仿宋_GB2312"/>
          <w:szCs w:val="28"/>
          <w:lang w:val="en-US" w:eastAsia="zh-CN"/>
        </w:rPr>
        <w:t>与“</w:t>
      </w:r>
      <w:r>
        <w:rPr>
          <w:rFonts w:hint="eastAsia" w:ascii="仿宋_GB2312" w:hAnsi="仿宋_GB2312" w:cs="仿宋_GB2312"/>
          <w:szCs w:val="28"/>
        </w:rPr>
        <w:t>碱性嫩黄</w:t>
      </w:r>
      <w:r>
        <w:rPr>
          <w:rFonts w:hint="eastAsia" w:ascii="仿宋_GB2312" w:hAnsi="仿宋_GB2312" w:cs="仿宋_GB2312"/>
          <w:szCs w:val="28"/>
          <w:lang w:eastAsia="zh-CN"/>
        </w:rPr>
        <w:t>：</w:t>
      </w:r>
      <w:r>
        <w:rPr>
          <w:rFonts w:hint="eastAsia" w:ascii="仿宋_GB2312" w:hAnsi="仿宋_GB2312" w:cs="仿宋_GB2312"/>
          <w:szCs w:val="28"/>
          <w:lang w:val="en-US" w:eastAsia="zh-CN"/>
        </w:rPr>
        <w:t>相关</w:t>
      </w:r>
      <w:r>
        <w:rPr>
          <w:rFonts w:hint="eastAsia" w:ascii="仿宋_GB2312" w:hAnsi="仿宋_GB2312" w:cs="仿宋_GB2312"/>
          <w:szCs w:val="28"/>
        </w:rPr>
        <w:t>的标准有</w:t>
      </w:r>
      <w:r>
        <w:rPr>
          <w:rFonts w:hint="eastAsia" w:ascii="仿宋_GB2312" w:hAnsi="仿宋_GB2312" w:cs="仿宋_GB2312"/>
          <w:szCs w:val="28"/>
          <w:lang w:val="en-US" w:eastAsia="zh-CN"/>
        </w:rPr>
        <w:t>主要有：</w:t>
      </w:r>
    </w:p>
    <w:p w14:paraId="3AF9C5C9">
      <w:pPr>
        <w:ind w:firstLine="640"/>
        <w:rPr>
          <w:rFonts w:hint="eastAsia" w:ascii="仿宋_GB2312" w:hAnsi="仿宋_GB2312" w:eastAsia="仿宋_GB2312" w:cs="仿宋_GB2312"/>
          <w:szCs w:val="28"/>
          <w:lang w:eastAsia="zh-CN"/>
        </w:rPr>
      </w:pPr>
      <w:r>
        <w:rPr>
          <w:rFonts w:hint="eastAsia" w:ascii="仿宋_GB2312" w:hAnsi="仿宋_GB2312" w:cs="仿宋_GB2312"/>
          <w:szCs w:val="28"/>
          <w:lang w:eastAsia="zh-CN"/>
        </w:rPr>
        <w:t>《</w:t>
      </w:r>
      <w:r>
        <w:rPr>
          <w:rFonts w:hint="eastAsia" w:ascii="仿宋_GB2312" w:hAnsi="仿宋_GB2312" w:cs="仿宋_GB2312"/>
          <w:szCs w:val="28"/>
        </w:rPr>
        <w:t>SN/T 5610.1-2024</w:t>
      </w:r>
      <w:r>
        <w:rPr>
          <w:rFonts w:hint="eastAsia" w:ascii="仿宋_GB2312" w:hAnsi="仿宋_GB2312" w:cs="仿宋_GB2312"/>
          <w:szCs w:val="28"/>
          <w:lang w:val="en-US" w:eastAsia="zh-CN"/>
        </w:rPr>
        <w:t xml:space="preserve">  </w:t>
      </w:r>
      <w:r>
        <w:rPr>
          <w:rFonts w:hint="eastAsia" w:ascii="仿宋_GB2312" w:hAnsi="仿宋_GB2312" w:cs="仿宋_GB2312"/>
          <w:szCs w:val="28"/>
        </w:rPr>
        <w:t>进出口纺织品 碱性嫩黄的测定 第1部分：液相色谱法》</w:t>
      </w:r>
      <w:r>
        <w:rPr>
          <w:rFonts w:hint="eastAsia" w:ascii="仿宋_GB2312" w:hAnsi="仿宋_GB2312" w:cs="仿宋_GB2312"/>
          <w:szCs w:val="28"/>
          <w:lang w:eastAsia="zh-CN"/>
        </w:rPr>
        <w:t>《</w:t>
      </w:r>
      <w:r>
        <w:rPr>
          <w:rFonts w:hint="eastAsia" w:ascii="仿宋_GB2312" w:hAnsi="仿宋_GB2312" w:cs="仿宋_GB2312"/>
          <w:szCs w:val="28"/>
        </w:rPr>
        <w:t>SN/T 5610.2-2024</w:t>
      </w:r>
      <w:r>
        <w:rPr>
          <w:rFonts w:hint="eastAsia" w:ascii="仿宋_GB2312" w:hAnsi="仿宋_GB2312" w:cs="仿宋_GB2312"/>
          <w:szCs w:val="28"/>
          <w:lang w:val="en-US" w:eastAsia="zh-CN"/>
        </w:rPr>
        <w:t xml:space="preserve">  </w:t>
      </w:r>
      <w:r>
        <w:rPr>
          <w:rFonts w:hint="eastAsia" w:ascii="仿宋_GB2312" w:hAnsi="仿宋_GB2312" w:cs="仿宋_GB2312"/>
          <w:szCs w:val="28"/>
        </w:rPr>
        <w:t>进出口纺织品 碱性嫩黄的测定 第2部分：液相色谱-串联质谱法》</w:t>
      </w:r>
      <w:r>
        <w:rPr>
          <w:rFonts w:hint="eastAsia" w:ascii="仿宋_GB2312" w:hAnsi="仿宋_GB2312" w:cs="仿宋_GB2312"/>
          <w:szCs w:val="28"/>
          <w:lang w:eastAsia="zh-CN"/>
        </w:rPr>
        <w:t>《</w:t>
      </w:r>
      <w:r>
        <w:rPr>
          <w:rFonts w:hint="eastAsia" w:ascii="仿宋_GB2312" w:hAnsi="仿宋_GB2312" w:cs="仿宋_GB2312"/>
          <w:szCs w:val="28"/>
        </w:rPr>
        <w:t>SN/T 5643.2-2023</w:t>
      </w:r>
      <w:r>
        <w:rPr>
          <w:rFonts w:hint="eastAsia" w:ascii="仿宋_GB2312" w:hAnsi="仿宋_GB2312" w:cs="仿宋_GB2312"/>
          <w:szCs w:val="28"/>
          <w:lang w:val="en-US" w:eastAsia="zh-CN"/>
        </w:rPr>
        <w:t xml:space="preserve">  </w:t>
      </w:r>
      <w:r>
        <w:rPr>
          <w:rFonts w:hint="eastAsia" w:ascii="仿宋_GB2312" w:hAnsi="仿宋_GB2312" w:cs="仿宋_GB2312"/>
          <w:szCs w:val="28"/>
        </w:rPr>
        <w:t>出口食品中化学污染物的快速检测方法 第2部分：碱性嫩黄O的测定 拉曼光谱法》</w:t>
      </w:r>
      <w:r>
        <w:rPr>
          <w:rFonts w:hint="eastAsia" w:ascii="仿宋_GB2312" w:hAnsi="仿宋_GB2312" w:cs="仿宋_GB2312"/>
          <w:szCs w:val="28"/>
          <w:lang w:eastAsia="zh-CN"/>
        </w:rPr>
        <w:t>《</w:t>
      </w:r>
      <w:r>
        <w:rPr>
          <w:rFonts w:hint="eastAsia" w:ascii="仿宋_GB2312" w:hAnsi="仿宋_GB2312" w:cs="仿宋_GB2312"/>
          <w:szCs w:val="28"/>
        </w:rPr>
        <w:t xml:space="preserve">BJS 202204 </w:t>
      </w:r>
      <w:r>
        <w:rPr>
          <w:rFonts w:hint="eastAsia" w:ascii="仿宋_GB2312" w:hAnsi="仿宋_GB2312" w:cs="仿宋_GB2312"/>
          <w:szCs w:val="28"/>
          <w:lang w:val="en-US" w:eastAsia="zh-CN"/>
        </w:rPr>
        <w:t xml:space="preserve"> </w:t>
      </w:r>
      <w:r>
        <w:rPr>
          <w:rFonts w:hint="eastAsia" w:ascii="仿宋_GB2312" w:hAnsi="仿宋_GB2312" w:cs="仿宋_GB2312"/>
          <w:szCs w:val="28"/>
        </w:rPr>
        <w:t>豆制品中碱性嫩黄等11种工业染料的测定》</w:t>
      </w:r>
      <w:r>
        <w:rPr>
          <w:rFonts w:hint="eastAsia" w:ascii="仿宋_GB2312" w:hAnsi="仿宋_GB2312" w:cs="仿宋_GB2312"/>
          <w:szCs w:val="28"/>
          <w:lang w:eastAsia="zh-CN"/>
        </w:rPr>
        <w:t>《</w:t>
      </w:r>
      <w:r>
        <w:rPr>
          <w:rFonts w:hint="eastAsia" w:ascii="仿宋_GB2312" w:hAnsi="仿宋_GB2312" w:cs="仿宋_GB2312"/>
          <w:szCs w:val="28"/>
        </w:rPr>
        <w:t>DB35/T 897-2009</w:t>
      </w:r>
      <w:r>
        <w:rPr>
          <w:rFonts w:hint="eastAsia" w:ascii="仿宋_GB2312" w:hAnsi="仿宋_GB2312" w:cs="仿宋_GB2312"/>
          <w:szCs w:val="28"/>
          <w:lang w:val="en-US" w:eastAsia="zh-CN"/>
        </w:rPr>
        <w:t xml:space="preserve">  </w:t>
      </w:r>
      <w:r>
        <w:rPr>
          <w:rFonts w:hint="eastAsia" w:ascii="仿宋_GB2312" w:hAnsi="仿宋_GB2312" w:cs="仿宋_GB2312"/>
          <w:szCs w:val="28"/>
        </w:rPr>
        <w:t>食品中碱性橙、碱性嫩黄O和碱性桃红T含量的测定》</w:t>
      </w:r>
      <w:r>
        <w:rPr>
          <w:rFonts w:hint="eastAsia" w:ascii="仿宋_GB2312" w:hAnsi="仿宋_GB2312" w:cs="仿宋_GB2312"/>
          <w:szCs w:val="28"/>
          <w:lang w:eastAsia="zh-CN"/>
        </w:rPr>
        <w:t>。</w:t>
      </w:r>
    </w:p>
    <w:p w14:paraId="3EFCF41A">
      <w:pPr>
        <w:ind w:firstLine="640" w:firstLineChars="200"/>
        <w:rPr>
          <w:rFonts w:ascii="仿宋_GB2312" w:hAnsi="仿宋_GB2312" w:cs="仿宋_GB2312"/>
          <w:szCs w:val="28"/>
        </w:rPr>
      </w:pPr>
      <w:r>
        <w:rPr>
          <w:rFonts w:hint="eastAsia" w:ascii="仿宋_GB2312" w:hAnsi="仿宋_GB2312" w:cs="仿宋_GB2312"/>
          <w:szCs w:val="28"/>
        </w:rPr>
        <w:t>综述：在上述相关标准中，不适用于进口水果榴莲基体，目前尚无《榴莲中碱性嫩黄O的测定  液相色谱-串联质谱法》标准，属于标准空白。</w:t>
      </w:r>
    </w:p>
    <w:p w14:paraId="5198164E">
      <w:pPr>
        <w:autoSpaceDE w:val="0"/>
        <w:autoSpaceDN w:val="0"/>
        <w:adjustRightInd w:val="0"/>
        <w:ind w:firstLine="640"/>
        <w:jc w:val="left"/>
        <w:rPr>
          <w:rFonts w:ascii="黑体" w:hAnsi="黑体" w:eastAsia="黑体" w:cs="仿宋_GB2312"/>
          <w:szCs w:val="32"/>
        </w:rPr>
      </w:pPr>
      <w:bookmarkStart w:id="1" w:name="_Toc526940084"/>
      <w:r>
        <w:rPr>
          <w:rFonts w:hint="eastAsia" w:ascii="黑体" w:hAnsi="黑体" w:eastAsia="黑体" w:cs="仿宋_GB2312"/>
          <w:szCs w:val="32"/>
        </w:rPr>
        <w:t>五、</w:t>
      </w:r>
      <w:bookmarkEnd w:id="1"/>
      <w:r>
        <w:rPr>
          <w:rFonts w:hint="eastAsia" w:ascii="黑体" w:hAnsi="黑体" w:eastAsia="黑体" w:cs="仿宋_GB2312"/>
          <w:szCs w:val="32"/>
        </w:rPr>
        <w:t>主要条款的说明</w:t>
      </w:r>
    </w:p>
    <w:p w14:paraId="2ABE83D0">
      <w:pPr>
        <w:ind w:firstLine="640"/>
        <w:rPr>
          <w:rFonts w:ascii="仿宋_GB2312" w:hAnsi="仿宋_GB2312" w:cs="仿宋_GB2312"/>
          <w:szCs w:val="32"/>
          <w:lang w:val="zh-CN"/>
        </w:rPr>
      </w:pPr>
      <w:r>
        <w:rPr>
          <w:rFonts w:hint="eastAsia" w:ascii="仿宋_GB2312" w:hAnsi="仿宋_GB2312" w:cs="仿宋_GB2312"/>
          <w:szCs w:val="32"/>
          <w:lang w:val="zh-CN"/>
        </w:rPr>
        <w:t>团体标准《</w:t>
      </w:r>
      <w:r>
        <w:rPr>
          <w:rFonts w:hint="eastAsia" w:ascii="仿宋_GB2312" w:hAnsi="仿宋_GB2312" w:cs="仿宋_GB2312"/>
          <w:szCs w:val="28"/>
        </w:rPr>
        <w:t>榴莲中碱性嫩黄O的测定  液相色谱-串联质谱法</w:t>
      </w:r>
      <w:r>
        <w:rPr>
          <w:rFonts w:hint="eastAsia" w:ascii="仿宋_GB2312" w:hAnsi="仿宋_GB2312" w:cs="仿宋_GB2312"/>
          <w:szCs w:val="32"/>
          <w:lang w:val="zh-CN"/>
        </w:rPr>
        <w:t>》的主要内容包括：</w:t>
      </w:r>
      <w:r>
        <w:rPr>
          <w:rFonts w:hint="eastAsia" w:ascii="仿宋_GB2312" w:hAnsi="仿宋_GB2312" w:cs="仿宋_GB2312"/>
          <w:szCs w:val="32"/>
          <w:lang w:val="en-US" w:eastAsia="zh-CN"/>
        </w:rPr>
        <w:t>原理、</w:t>
      </w:r>
      <w:r>
        <w:rPr>
          <w:rFonts w:hint="eastAsia" w:ascii="仿宋_GB2312" w:hAnsi="仿宋_GB2312" w:cs="仿宋_GB2312"/>
          <w:szCs w:val="28"/>
        </w:rPr>
        <w:t>试剂与</w:t>
      </w:r>
      <w:r>
        <w:rPr>
          <w:rFonts w:hint="eastAsia" w:ascii="仿宋_GB2312" w:hAnsi="仿宋_GB2312" w:cs="仿宋_GB2312"/>
          <w:szCs w:val="28"/>
          <w:lang w:val="en-US" w:eastAsia="zh-CN"/>
        </w:rPr>
        <w:t>材料</w:t>
      </w:r>
      <w:r>
        <w:rPr>
          <w:rFonts w:hint="eastAsia" w:ascii="仿宋_GB2312" w:hAnsi="仿宋_GB2312" w:cs="仿宋_GB2312"/>
          <w:szCs w:val="28"/>
        </w:rPr>
        <w:t>、仪器和设备、分析步骤、结果计算、回收率与精密度</w:t>
      </w:r>
      <w:r>
        <w:rPr>
          <w:rFonts w:hint="eastAsia" w:ascii="仿宋_GB2312" w:hAnsi="仿宋_GB2312" w:cs="仿宋_GB2312"/>
          <w:szCs w:val="32"/>
          <w:lang w:val="zh-CN"/>
        </w:rPr>
        <w:t>。本文件主要内容及依据来源说明如下：</w:t>
      </w:r>
    </w:p>
    <w:p w14:paraId="2BA3FF16">
      <w:pPr>
        <w:ind w:firstLine="643"/>
        <w:rPr>
          <w:rFonts w:ascii="仿宋_GB2312" w:hAnsi="仿宋_GB2312" w:cs="仿宋_GB2312"/>
          <w:b/>
          <w:bCs/>
          <w:szCs w:val="32"/>
        </w:rPr>
      </w:pPr>
      <w:r>
        <w:rPr>
          <w:rFonts w:hint="eastAsia" w:ascii="仿宋_GB2312" w:hAnsi="仿宋_GB2312" w:cs="仿宋_GB2312"/>
          <w:b/>
          <w:bCs/>
          <w:szCs w:val="32"/>
        </w:rPr>
        <w:t>(一）原理</w:t>
      </w:r>
    </w:p>
    <w:p w14:paraId="0AED372E">
      <w:pPr>
        <w:ind w:firstLine="640"/>
        <w:rPr>
          <w:rFonts w:hint="eastAsia" w:ascii="仿宋_GB2312" w:hAnsi="仿宋_GB2312" w:cs="仿宋_GB2312"/>
          <w:szCs w:val="32"/>
        </w:rPr>
      </w:pPr>
      <w:r>
        <w:rPr>
          <w:rFonts w:hint="eastAsia" w:ascii="仿宋_GB2312" w:hAnsi="仿宋_GB2312" w:cs="仿宋_GB2312"/>
          <w:szCs w:val="32"/>
        </w:rPr>
        <w:t>试样中的碱性嫩黄经0.1％甲酸乙腈提取、离心，榴莲肉上清液经分散固相萃取净化后上高效液相色谱-串联质谱仪检测，榴莲皮的提取液直接上高效液相色谱-串联质谱仪检测，外标法定量。</w:t>
      </w:r>
    </w:p>
    <w:p w14:paraId="27C69554">
      <w:pPr>
        <w:pStyle w:val="2"/>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由于碱性嫩黄极性较强</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 xml:space="preserve"> 在</w:t>
      </w:r>
      <w:r>
        <w:rPr>
          <w:rFonts w:hint="eastAsia" w:ascii="仿宋_GB2312" w:hAnsi="仿宋_GB2312" w:eastAsia="仿宋_GB2312" w:cs="仿宋_GB2312"/>
          <w:kern w:val="2"/>
          <w:sz w:val="32"/>
          <w:szCs w:val="32"/>
          <w:lang w:val="en-US" w:eastAsia="zh-CN" w:bidi="ar-SA"/>
        </w:rPr>
        <w:t>冷</w:t>
      </w:r>
      <w:r>
        <w:rPr>
          <w:rFonts w:hint="default" w:ascii="仿宋_GB2312" w:hAnsi="仿宋_GB2312" w:eastAsia="仿宋_GB2312" w:cs="仿宋_GB2312"/>
          <w:kern w:val="2"/>
          <w:sz w:val="32"/>
          <w:szCs w:val="32"/>
          <w:lang w:val="en-US" w:eastAsia="zh-CN" w:bidi="ar-SA"/>
        </w:rPr>
        <w:t>水中溶解性较差</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在乙醇、甲醇、乙腈等强极性溶剂中溶解性较好</w:t>
      </w:r>
      <w:r>
        <w:rPr>
          <w:rFonts w:hint="eastAsia" w:ascii="仿宋_GB2312" w:hAnsi="仿宋_GB2312" w:eastAsia="仿宋_GB2312" w:cs="仿宋_GB2312"/>
          <w:kern w:val="2"/>
          <w:sz w:val="32"/>
          <w:szCs w:val="32"/>
          <w:lang w:val="en-US" w:eastAsia="zh-CN" w:bidi="ar-SA"/>
        </w:rPr>
        <w:t>，本研究</w:t>
      </w:r>
      <w:r>
        <w:rPr>
          <w:rFonts w:hint="default" w:ascii="仿宋_GB2312" w:hAnsi="仿宋_GB2312" w:eastAsia="仿宋_GB2312" w:cs="仿宋_GB2312"/>
          <w:kern w:val="2"/>
          <w:sz w:val="32"/>
          <w:szCs w:val="32"/>
          <w:lang w:val="en-US" w:eastAsia="zh-CN" w:bidi="ar-SA"/>
        </w:rPr>
        <w:t>选取</w:t>
      </w:r>
      <w:r>
        <w:rPr>
          <w:rFonts w:hint="eastAsia" w:ascii="仿宋_GB2312" w:hAnsi="仿宋_GB2312" w:eastAsia="仿宋_GB2312" w:cs="仿宋_GB2312"/>
          <w:kern w:val="2"/>
          <w:sz w:val="32"/>
          <w:szCs w:val="32"/>
          <w:lang w:val="en-US" w:eastAsia="zh-CN" w:bidi="ar-SA"/>
        </w:rPr>
        <w:t>乙腈、甲醇、</w:t>
      </w:r>
      <w:r>
        <w:rPr>
          <w:rFonts w:hint="default" w:ascii="仿宋_GB2312" w:hAnsi="仿宋_GB2312" w:eastAsia="仿宋_GB2312" w:cs="仿宋_GB2312"/>
          <w:kern w:val="2"/>
          <w:sz w:val="32"/>
          <w:szCs w:val="32"/>
          <w:lang w:val="en-US" w:eastAsia="zh-CN" w:bidi="ar-SA"/>
        </w:rPr>
        <w:t>0.1%甲酸</w:t>
      </w:r>
      <w:r>
        <w:rPr>
          <w:rFonts w:hint="eastAsia" w:ascii="仿宋_GB2312" w:hAnsi="仿宋_GB2312" w:eastAsia="仿宋_GB2312" w:cs="仿宋_GB2312"/>
          <w:kern w:val="2"/>
          <w:sz w:val="32"/>
          <w:szCs w:val="32"/>
          <w:lang w:val="en-US" w:eastAsia="zh-CN" w:bidi="ar-SA"/>
        </w:rPr>
        <w:t>乙腈和</w:t>
      </w:r>
      <w:r>
        <w:rPr>
          <w:rFonts w:hint="default" w:ascii="仿宋_GB2312" w:hAnsi="仿宋_GB2312" w:eastAsia="仿宋_GB2312" w:cs="仿宋_GB2312"/>
          <w:kern w:val="2"/>
          <w:sz w:val="32"/>
          <w:szCs w:val="32"/>
          <w:lang w:val="en-US" w:eastAsia="zh-CN" w:bidi="ar-SA"/>
        </w:rPr>
        <w:t>0.1%甲酸</w:t>
      </w:r>
      <w:r>
        <w:rPr>
          <w:rFonts w:hint="eastAsia" w:ascii="仿宋_GB2312" w:hAnsi="仿宋_GB2312" w:eastAsia="仿宋_GB2312" w:cs="仿宋_GB2312"/>
          <w:kern w:val="2"/>
          <w:sz w:val="32"/>
          <w:szCs w:val="32"/>
          <w:lang w:val="en-US" w:eastAsia="zh-CN" w:bidi="ar-SA"/>
        </w:rPr>
        <w:t>甲醇等</w:t>
      </w:r>
      <w:r>
        <w:rPr>
          <w:rFonts w:hint="default" w:ascii="仿宋_GB2312" w:hAnsi="仿宋_GB2312" w:eastAsia="仿宋_GB2312" w:cs="仿宋_GB2312"/>
          <w:kern w:val="2"/>
          <w:sz w:val="32"/>
          <w:szCs w:val="32"/>
          <w:lang w:val="en-US" w:eastAsia="zh-CN" w:bidi="ar-SA"/>
        </w:rPr>
        <w:t>不同的溶剂</w:t>
      </w:r>
      <w:r>
        <w:rPr>
          <w:rFonts w:hint="eastAsia" w:ascii="仿宋_GB2312" w:hAnsi="仿宋_GB2312" w:eastAsia="仿宋_GB2312" w:cs="仿宋_GB2312"/>
          <w:kern w:val="2"/>
          <w:sz w:val="32"/>
          <w:szCs w:val="32"/>
          <w:lang w:val="en-US" w:eastAsia="zh-CN" w:bidi="ar-SA"/>
        </w:rPr>
        <w:t>作为提取剂</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分别称取</w:t>
      </w:r>
      <w:r>
        <w:rPr>
          <w:rFonts w:hint="default" w:ascii="仿宋_GB2312" w:hAnsi="仿宋_GB2312" w:eastAsia="仿宋_GB2312" w:cs="仿宋_GB2312"/>
          <w:kern w:val="2"/>
          <w:sz w:val="32"/>
          <w:szCs w:val="32"/>
          <w:lang w:val="en-US" w:eastAsia="zh-CN" w:bidi="ar-SA"/>
        </w:rPr>
        <w:t>空白样品的榴莲皮和榴莲肉</w:t>
      </w:r>
      <w:r>
        <w:rPr>
          <w:rFonts w:hint="eastAsia" w:ascii="仿宋_GB2312" w:hAnsi="仿宋_GB2312" w:eastAsia="仿宋_GB2312" w:cs="仿宋_GB2312"/>
          <w:kern w:val="2"/>
          <w:sz w:val="32"/>
          <w:szCs w:val="32"/>
          <w:lang w:val="en-US" w:eastAsia="zh-CN" w:bidi="ar-SA"/>
        </w:rPr>
        <w:t>2g（精确至0.001g）后，在样品</w:t>
      </w:r>
      <w:r>
        <w:rPr>
          <w:rFonts w:hint="default" w:ascii="仿宋_GB2312" w:hAnsi="仿宋_GB2312" w:eastAsia="仿宋_GB2312" w:cs="仿宋_GB2312"/>
          <w:kern w:val="2"/>
          <w:sz w:val="32"/>
          <w:szCs w:val="32"/>
          <w:lang w:val="en-US" w:eastAsia="zh-CN" w:bidi="ar-SA"/>
        </w:rPr>
        <w:t>中加入100ng碱性嫩黄O，</w:t>
      </w:r>
      <w:r>
        <w:rPr>
          <w:rFonts w:hint="eastAsia" w:ascii="仿宋_GB2312" w:hAnsi="仿宋_GB2312" w:eastAsia="仿宋_GB2312" w:cs="仿宋_GB2312"/>
          <w:kern w:val="2"/>
          <w:sz w:val="32"/>
          <w:szCs w:val="32"/>
          <w:lang w:val="en-US" w:eastAsia="zh-CN" w:bidi="ar-SA"/>
        </w:rPr>
        <w:t>然后按照后续分析步骤对</w:t>
      </w:r>
      <w:r>
        <w:rPr>
          <w:rFonts w:hint="default" w:ascii="仿宋_GB2312" w:hAnsi="仿宋_GB2312" w:eastAsia="仿宋_GB2312" w:cs="仿宋_GB2312"/>
          <w:kern w:val="2"/>
          <w:sz w:val="32"/>
          <w:szCs w:val="32"/>
          <w:lang w:val="en-US" w:eastAsia="zh-CN" w:bidi="ar-SA"/>
        </w:rPr>
        <w:t>样品进行</w:t>
      </w:r>
      <w:r>
        <w:rPr>
          <w:rFonts w:hint="eastAsia" w:ascii="仿宋_GB2312" w:hAnsi="仿宋_GB2312" w:eastAsia="仿宋_GB2312" w:cs="仿宋_GB2312"/>
          <w:kern w:val="2"/>
          <w:sz w:val="32"/>
          <w:szCs w:val="32"/>
          <w:lang w:val="en-US" w:eastAsia="zh-CN" w:bidi="ar-SA"/>
        </w:rPr>
        <w:t>前处理</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但不进行净化步骤，</w:t>
      </w:r>
      <w:r>
        <w:rPr>
          <w:rFonts w:hint="default" w:ascii="仿宋_GB2312" w:hAnsi="仿宋_GB2312" w:eastAsia="仿宋_GB2312" w:cs="仿宋_GB2312"/>
          <w:kern w:val="2"/>
          <w:sz w:val="32"/>
          <w:szCs w:val="32"/>
          <w:lang w:val="en-US" w:eastAsia="zh-CN" w:bidi="ar-SA"/>
        </w:rPr>
        <w:t>检测结果如下表所示。</w:t>
      </w:r>
    </w:p>
    <w:p w14:paraId="2EB6E1DF">
      <w:pPr>
        <w:pStyle w:val="2"/>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表1 不同提取溶剂的结果对比</w:t>
      </w:r>
    </w:p>
    <w:tbl>
      <w:tblPr>
        <w:tblStyle w:val="8"/>
        <w:tblW w:w="9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32" w:type="dxa"/>
          <w:left w:w="64" w:type="dxa"/>
          <w:bottom w:w="32" w:type="dxa"/>
          <w:right w:w="64" w:type="dxa"/>
        </w:tblCellMar>
      </w:tblPr>
      <w:tblGrid>
        <w:gridCol w:w="1020"/>
        <w:gridCol w:w="1634"/>
        <w:gridCol w:w="1355"/>
        <w:gridCol w:w="1355"/>
        <w:gridCol w:w="1355"/>
        <w:gridCol w:w="1358"/>
        <w:gridCol w:w="1026"/>
      </w:tblGrid>
      <w:tr w14:paraId="3DA8E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tblHeader/>
          <w:jc w:val="center"/>
        </w:trPr>
        <w:tc>
          <w:tcPr>
            <w:tcW w:w="1020" w:type="dxa"/>
            <w:tcBorders>
              <w:tl2br w:val="nil"/>
            </w:tcBorders>
            <w:shd w:val="clear" w:color="auto" w:fill="auto"/>
            <w:vAlign w:val="center"/>
          </w:tcPr>
          <w:p w14:paraId="03AD5606">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000000"/>
                <w:sz w:val="24"/>
                <w:szCs w:val="24"/>
                <w:vertAlign w:val="baseline"/>
                <w:lang w:val="en-US" w:eastAsia="zh-CN"/>
              </w:rPr>
            </w:pPr>
            <w:r>
              <w:rPr>
                <w:rFonts w:hint="eastAsia" w:ascii="仿宋_GB2312" w:hAnsi="仿宋_GB2312" w:eastAsia="仿宋_GB2312" w:cs="仿宋_GB2312"/>
                <w:b/>
                <w:bCs/>
                <w:color w:val="000000"/>
                <w:sz w:val="24"/>
                <w:szCs w:val="24"/>
                <w:vertAlign w:val="baseline"/>
                <w:lang w:val="en-US" w:eastAsia="zh-CN"/>
              </w:rPr>
              <w:t>样品名称</w:t>
            </w:r>
          </w:p>
        </w:tc>
        <w:tc>
          <w:tcPr>
            <w:tcW w:w="1634" w:type="dxa"/>
            <w:shd w:val="clear" w:color="auto" w:fill="auto"/>
            <w:vAlign w:val="center"/>
          </w:tcPr>
          <w:p w14:paraId="51BA59B6">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000000"/>
                <w:sz w:val="24"/>
                <w:szCs w:val="24"/>
                <w:vertAlign w:val="baseline"/>
                <w:lang w:val="en-US" w:eastAsia="zh-CN"/>
              </w:rPr>
            </w:pPr>
            <w:r>
              <w:rPr>
                <w:rFonts w:hint="eastAsia" w:ascii="仿宋_GB2312" w:hAnsi="仿宋_GB2312" w:eastAsia="仿宋_GB2312" w:cs="仿宋_GB2312"/>
                <w:b/>
                <w:bCs/>
                <w:color w:val="000000"/>
                <w:sz w:val="24"/>
                <w:szCs w:val="24"/>
                <w:vertAlign w:val="baseline"/>
                <w:lang w:val="en-US" w:eastAsia="zh-CN"/>
              </w:rPr>
              <w:t>加入提取液</w:t>
            </w:r>
          </w:p>
        </w:tc>
        <w:tc>
          <w:tcPr>
            <w:tcW w:w="1355" w:type="dxa"/>
            <w:shd w:val="clear" w:color="auto" w:fill="auto"/>
            <w:vAlign w:val="center"/>
          </w:tcPr>
          <w:p w14:paraId="176B6E21">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000000"/>
                <w:sz w:val="24"/>
                <w:szCs w:val="24"/>
                <w:vertAlign w:val="baseline"/>
                <w:lang w:val="en-US" w:eastAsia="zh-CN"/>
              </w:rPr>
            </w:pPr>
            <w:r>
              <w:rPr>
                <w:rFonts w:hint="eastAsia" w:ascii="仿宋_GB2312" w:hAnsi="仿宋_GB2312" w:eastAsia="仿宋_GB2312" w:cs="仿宋_GB2312"/>
                <w:b/>
                <w:bCs/>
                <w:color w:val="000000"/>
                <w:sz w:val="24"/>
                <w:szCs w:val="24"/>
                <w:vertAlign w:val="baseline"/>
                <w:lang w:val="en-US" w:eastAsia="zh-CN"/>
              </w:rPr>
              <w:t>检测结果1</w:t>
            </w:r>
          </w:p>
          <w:p w14:paraId="5D76CE30">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000000"/>
                <w:sz w:val="24"/>
                <w:szCs w:val="24"/>
                <w:vertAlign w:val="baseline"/>
                <w:lang w:val="en-US" w:eastAsia="zh-CN"/>
              </w:rPr>
            </w:pPr>
            <w:r>
              <w:rPr>
                <w:rFonts w:hint="eastAsia" w:ascii="仿宋_GB2312" w:hAnsi="仿宋_GB2312" w:eastAsia="仿宋_GB2312" w:cs="仿宋_GB2312"/>
                <w:b/>
                <w:bCs/>
                <w:color w:val="000000"/>
                <w:sz w:val="24"/>
                <w:szCs w:val="24"/>
                <w:vertAlign w:val="baseline"/>
                <w:lang w:val="en-US" w:eastAsia="zh-CN"/>
              </w:rPr>
              <w:t>（ng）</w:t>
            </w:r>
          </w:p>
        </w:tc>
        <w:tc>
          <w:tcPr>
            <w:tcW w:w="1355" w:type="dxa"/>
            <w:shd w:val="clear" w:color="auto" w:fill="auto"/>
            <w:vAlign w:val="center"/>
          </w:tcPr>
          <w:p w14:paraId="14EB5AD8">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000000"/>
                <w:sz w:val="24"/>
                <w:szCs w:val="24"/>
                <w:vertAlign w:val="baseline"/>
                <w:lang w:val="en-US" w:eastAsia="zh-CN"/>
              </w:rPr>
            </w:pPr>
            <w:r>
              <w:rPr>
                <w:rFonts w:hint="eastAsia" w:ascii="仿宋_GB2312" w:hAnsi="仿宋_GB2312" w:eastAsia="仿宋_GB2312" w:cs="仿宋_GB2312"/>
                <w:b/>
                <w:bCs/>
                <w:color w:val="000000"/>
                <w:sz w:val="24"/>
                <w:szCs w:val="24"/>
                <w:vertAlign w:val="baseline"/>
                <w:lang w:val="en-US" w:eastAsia="zh-CN"/>
              </w:rPr>
              <w:t>检测结果2</w:t>
            </w:r>
          </w:p>
          <w:p w14:paraId="3A851D89">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000000"/>
                <w:sz w:val="24"/>
                <w:szCs w:val="24"/>
                <w:vertAlign w:val="baseline"/>
                <w:lang w:val="en-US" w:eastAsia="zh-CN"/>
              </w:rPr>
            </w:pPr>
            <w:r>
              <w:rPr>
                <w:rFonts w:hint="eastAsia" w:ascii="仿宋_GB2312" w:hAnsi="仿宋_GB2312" w:eastAsia="仿宋_GB2312" w:cs="仿宋_GB2312"/>
                <w:b/>
                <w:bCs/>
                <w:color w:val="000000"/>
                <w:sz w:val="24"/>
                <w:szCs w:val="24"/>
                <w:vertAlign w:val="baseline"/>
                <w:lang w:val="en-US" w:eastAsia="zh-CN"/>
              </w:rPr>
              <w:t>（ng）</w:t>
            </w:r>
          </w:p>
        </w:tc>
        <w:tc>
          <w:tcPr>
            <w:tcW w:w="1355" w:type="dxa"/>
            <w:shd w:val="clear" w:color="auto" w:fill="auto"/>
            <w:vAlign w:val="center"/>
          </w:tcPr>
          <w:p w14:paraId="181CFBB2">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000000"/>
                <w:sz w:val="24"/>
                <w:szCs w:val="24"/>
                <w:vertAlign w:val="baseline"/>
                <w:lang w:val="en-US" w:eastAsia="zh-CN"/>
              </w:rPr>
            </w:pPr>
            <w:r>
              <w:rPr>
                <w:rFonts w:hint="eastAsia" w:ascii="仿宋_GB2312" w:hAnsi="仿宋_GB2312" w:eastAsia="仿宋_GB2312" w:cs="仿宋_GB2312"/>
                <w:b/>
                <w:bCs/>
                <w:color w:val="000000"/>
                <w:sz w:val="24"/>
                <w:szCs w:val="24"/>
                <w:vertAlign w:val="baseline"/>
                <w:lang w:val="en-US" w:eastAsia="zh-CN"/>
              </w:rPr>
              <w:t>检测结果3</w:t>
            </w:r>
          </w:p>
          <w:p w14:paraId="47399B60">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000000"/>
                <w:sz w:val="24"/>
                <w:szCs w:val="24"/>
                <w:vertAlign w:val="baseline"/>
                <w:lang w:val="en-US" w:eastAsia="zh-CN"/>
              </w:rPr>
            </w:pPr>
            <w:r>
              <w:rPr>
                <w:rFonts w:hint="eastAsia" w:ascii="仿宋_GB2312" w:hAnsi="仿宋_GB2312" w:eastAsia="仿宋_GB2312" w:cs="仿宋_GB2312"/>
                <w:b/>
                <w:bCs/>
                <w:color w:val="000000"/>
                <w:sz w:val="24"/>
                <w:szCs w:val="24"/>
                <w:vertAlign w:val="baseline"/>
                <w:lang w:val="en-US" w:eastAsia="zh-CN"/>
              </w:rPr>
              <w:t>（ng）</w:t>
            </w:r>
          </w:p>
        </w:tc>
        <w:tc>
          <w:tcPr>
            <w:tcW w:w="1358" w:type="dxa"/>
            <w:shd w:val="clear" w:color="auto" w:fill="auto"/>
            <w:vAlign w:val="center"/>
          </w:tcPr>
          <w:p w14:paraId="3F9E9BCB">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000000"/>
                <w:sz w:val="24"/>
                <w:szCs w:val="24"/>
                <w:vertAlign w:val="baseline"/>
                <w:lang w:val="en-US" w:eastAsia="zh-CN"/>
              </w:rPr>
            </w:pPr>
            <w:r>
              <w:rPr>
                <w:rFonts w:hint="eastAsia" w:ascii="仿宋_GB2312" w:hAnsi="仿宋_GB2312" w:eastAsia="仿宋_GB2312" w:cs="仿宋_GB2312"/>
                <w:b/>
                <w:bCs/>
                <w:color w:val="000000"/>
                <w:sz w:val="24"/>
                <w:szCs w:val="24"/>
                <w:vertAlign w:val="baseline"/>
                <w:lang w:val="en-US" w:eastAsia="zh-CN"/>
              </w:rPr>
              <w:t>检测结果平均值（ng）</w:t>
            </w:r>
          </w:p>
        </w:tc>
        <w:tc>
          <w:tcPr>
            <w:tcW w:w="1026" w:type="dxa"/>
            <w:shd w:val="clear" w:color="auto" w:fill="auto"/>
            <w:vAlign w:val="center"/>
          </w:tcPr>
          <w:p w14:paraId="60D68F9C">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color w:val="000000"/>
                <w:sz w:val="24"/>
                <w:szCs w:val="24"/>
                <w:vertAlign w:val="baseline"/>
                <w:lang w:val="en-US" w:eastAsia="zh-CN"/>
              </w:rPr>
            </w:pPr>
            <w:r>
              <w:rPr>
                <w:rFonts w:hint="eastAsia" w:ascii="仿宋_GB2312" w:hAnsi="仿宋_GB2312" w:eastAsia="仿宋_GB2312" w:cs="仿宋_GB2312"/>
                <w:b/>
                <w:bCs/>
                <w:color w:val="000000"/>
                <w:sz w:val="24"/>
                <w:szCs w:val="24"/>
                <w:vertAlign w:val="baseline"/>
                <w:lang w:val="en-US" w:eastAsia="zh-CN"/>
              </w:rPr>
              <w:t>回收率%</w:t>
            </w:r>
          </w:p>
        </w:tc>
      </w:tr>
      <w:tr w14:paraId="7A18E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020" w:type="dxa"/>
            <w:vMerge w:val="restart"/>
            <w:shd w:val="clear" w:color="auto" w:fill="auto"/>
            <w:vAlign w:val="center"/>
          </w:tcPr>
          <w:p w14:paraId="1642044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榴莲皮</w:t>
            </w:r>
          </w:p>
        </w:tc>
        <w:tc>
          <w:tcPr>
            <w:tcW w:w="1634" w:type="dxa"/>
            <w:shd w:val="clear" w:color="auto" w:fill="auto"/>
            <w:vAlign w:val="center"/>
          </w:tcPr>
          <w:p w14:paraId="08EC6EA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乙腈</w:t>
            </w:r>
          </w:p>
        </w:tc>
        <w:tc>
          <w:tcPr>
            <w:tcW w:w="1355" w:type="dxa"/>
            <w:shd w:val="clear" w:color="auto" w:fill="auto"/>
            <w:vAlign w:val="center"/>
          </w:tcPr>
          <w:p w14:paraId="50AFC81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82.3</w:t>
            </w:r>
          </w:p>
        </w:tc>
        <w:tc>
          <w:tcPr>
            <w:tcW w:w="1355" w:type="dxa"/>
            <w:shd w:val="clear" w:color="auto" w:fill="auto"/>
            <w:vAlign w:val="center"/>
          </w:tcPr>
          <w:p w14:paraId="3BF1F94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86.1</w:t>
            </w:r>
          </w:p>
        </w:tc>
        <w:tc>
          <w:tcPr>
            <w:tcW w:w="1355" w:type="dxa"/>
            <w:shd w:val="clear" w:color="auto" w:fill="auto"/>
            <w:vAlign w:val="center"/>
          </w:tcPr>
          <w:p w14:paraId="389112E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86.9</w:t>
            </w:r>
          </w:p>
        </w:tc>
        <w:tc>
          <w:tcPr>
            <w:tcW w:w="1358" w:type="dxa"/>
            <w:shd w:val="clear" w:color="auto" w:fill="auto"/>
            <w:vAlign w:val="center"/>
          </w:tcPr>
          <w:p w14:paraId="2C22B90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85.1</w:t>
            </w:r>
          </w:p>
        </w:tc>
        <w:tc>
          <w:tcPr>
            <w:tcW w:w="1026" w:type="dxa"/>
            <w:shd w:val="clear" w:color="auto" w:fill="auto"/>
            <w:vAlign w:val="center"/>
          </w:tcPr>
          <w:p w14:paraId="795EE6D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85.1%</w:t>
            </w:r>
          </w:p>
        </w:tc>
      </w:tr>
      <w:tr w14:paraId="4DE6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020" w:type="dxa"/>
            <w:vMerge w:val="continue"/>
            <w:shd w:val="clear" w:color="auto" w:fill="auto"/>
            <w:vAlign w:val="center"/>
          </w:tcPr>
          <w:p w14:paraId="226705E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kern w:val="2"/>
                <w:sz w:val="24"/>
                <w:szCs w:val="24"/>
                <w:vertAlign w:val="baseline"/>
                <w:lang w:val="en-US" w:eastAsia="zh-CN" w:bidi="ar-SA"/>
              </w:rPr>
            </w:pPr>
          </w:p>
        </w:tc>
        <w:tc>
          <w:tcPr>
            <w:tcW w:w="1634" w:type="dxa"/>
            <w:shd w:val="clear" w:color="auto" w:fill="auto"/>
            <w:vAlign w:val="center"/>
          </w:tcPr>
          <w:p w14:paraId="26F0681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Style w:val="49"/>
                <w:rFonts w:hint="eastAsia" w:ascii="仿宋_GB2312" w:hAnsi="仿宋_GB2312" w:eastAsia="仿宋_GB2312" w:cs="仿宋_GB2312"/>
                <w:b w:val="0"/>
                <w:sz w:val="24"/>
                <w:szCs w:val="24"/>
                <w:lang w:val="en-US" w:eastAsia="zh-CN" w:bidi="ar"/>
              </w:rPr>
            </w:pPr>
            <w:r>
              <w:rPr>
                <w:rStyle w:val="49"/>
                <w:rFonts w:hint="eastAsia" w:ascii="仿宋_GB2312" w:hAnsi="仿宋_GB2312" w:eastAsia="仿宋_GB2312" w:cs="仿宋_GB2312"/>
                <w:b w:val="0"/>
                <w:sz w:val="24"/>
                <w:szCs w:val="24"/>
                <w:lang w:val="en-US" w:eastAsia="zh-CN" w:bidi="ar"/>
              </w:rPr>
              <w:t>甲醇</w:t>
            </w:r>
          </w:p>
        </w:tc>
        <w:tc>
          <w:tcPr>
            <w:tcW w:w="1355" w:type="dxa"/>
            <w:shd w:val="clear" w:color="auto" w:fill="auto"/>
            <w:vAlign w:val="center"/>
          </w:tcPr>
          <w:p w14:paraId="751D58E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kern w:val="2"/>
                <w:sz w:val="24"/>
                <w:szCs w:val="24"/>
                <w:vertAlign w:val="baseline"/>
                <w:lang w:val="en-US" w:eastAsia="zh-CN" w:bidi="ar-SA"/>
              </w:rPr>
            </w:pPr>
            <w:r>
              <w:rPr>
                <w:rFonts w:hint="eastAsia" w:ascii="仿宋_GB2312" w:hAnsi="仿宋_GB2312" w:eastAsia="仿宋_GB2312" w:cs="仿宋_GB2312"/>
                <w:b w:val="0"/>
                <w:i w:val="0"/>
                <w:iCs w:val="0"/>
                <w:color w:val="000000"/>
                <w:kern w:val="0"/>
                <w:sz w:val="24"/>
                <w:szCs w:val="24"/>
                <w:u w:val="none"/>
                <w:lang w:val="en-US" w:eastAsia="zh-CN" w:bidi="ar"/>
              </w:rPr>
              <w:t>85.3</w:t>
            </w:r>
          </w:p>
        </w:tc>
        <w:tc>
          <w:tcPr>
            <w:tcW w:w="1355" w:type="dxa"/>
            <w:shd w:val="clear" w:color="auto" w:fill="auto"/>
            <w:vAlign w:val="center"/>
          </w:tcPr>
          <w:p w14:paraId="23B8293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kern w:val="2"/>
                <w:sz w:val="24"/>
                <w:szCs w:val="24"/>
                <w:vertAlign w:val="baseline"/>
                <w:lang w:val="en-US" w:eastAsia="zh-CN" w:bidi="ar-SA"/>
              </w:rPr>
            </w:pPr>
            <w:r>
              <w:rPr>
                <w:rFonts w:hint="eastAsia" w:ascii="仿宋_GB2312" w:hAnsi="仿宋_GB2312" w:eastAsia="仿宋_GB2312" w:cs="仿宋_GB2312"/>
                <w:b w:val="0"/>
                <w:i w:val="0"/>
                <w:iCs w:val="0"/>
                <w:color w:val="000000"/>
                <w:kern w:val="0"/>
                <w:sz w:val="24"/>
                <w:szCs w:val="24"/>
                <w:u w:val="none"/>
                <w:lang w:val="en-US" w:eastAsia="zh-CN" w:bidi="ar"/>
              </w:rPr>
              <w:t>87.7</w:t>
            </w:r>
          </w:p>
        </w:tc>
        <w:tc>
          <w:tcPr>
            <w:tcW w:w="1355" w:type="dxa"/>
            <w:shd w:val="clear" w:color="auto" w:fill="auto"/>
            <w:vAlign w:val="center"/>
          </w:tcPr>
          <w:p w14:paraId="1A77A99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kern w:val="2"/>
                <w:sz w:val="24"/>
                <w:szCs w:val="24"/>
                <w:vertAlign w:val="baseline"/>
                <w:lang w:val="en-US" w:eastAsia="zh-CN" w:bidi="ar-SA"/>
              </w:rPr>
            </w:pPr>
            <w:r>
              <w:rPr>
                <w:rFonts w:hint="eastAsia" w:ascii="仿宋_GB2312" w:hAnsi="仿宋_GB2312" w:eastAsia="仿宋_GB2312" w:cs="仿宋_GB2312"/>
                <w:b w:val="0"/>
                <w:i w:val="0"/>
                <w:iCs w:val="0"/>
                <w:color w:val="000000"/>
                <w:kern w:val="0"/>
                <w:sz w:val="24"/>
                <w:szCs w:val="24"/>
                <w:u w:val="none"/>
                <w:lang w:val="en-US" w:eastAsia="zh-CN" w:bidi="ar"/>
              </w:rPr>
              <w:t>90.7</w:t>
            </w:r>
          </w:p>
        </w:tc>
        <w:tc>
          <w:tcPr>
            <w:tcW w:w="1358" w:type="dxa"/>
            <w:shd w:val="clear" w:color="auto" w:fill="auto"/>
            <w:vAlign w:val="center"/>
          </w:tcPr>
          <w:p w14:paraId="3BE10C5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kern w:val="2"/>
                <w:sz w:val="24"/>
                <w:szCs w:val="24"/>
                <w:vertAlign w:val="baseline"/>
                <w:lang w:val="en-US" w:eastAsia="zh-CN" w:bidi="ar-SA"/>
              </w:rPr>
            </w:pPr>
            <w:r>
              <w:rPr>
                <w:rFonts w:hint="eastAsia" w:ascii="仿宋_GB2312" w:hAnsi="仿宋_GB2312" w:eastAsia="仿宋_GB2312" w:cs="仿宋_GB2312"/>
                <w:b w:val="0"/>
                <w:i w:val="0"/>
                <w:iCs w:val="0"/>
                <w:color w:val="000000"/>
                <w:kern w:val="0"/>
                <w:sz w:val="24"/>
                <w:szCs w:val="24"/>
                <w:u w:val="none"/>
                <w:lang w:val="en-US" w:eastAsia="zh-CN" w:bidi="ar"/>
              </w:rPr>
              <w:t>87.9</w:t>
            </w:r>
          </w:p>
        </w:tc>
        <w:tc>
          <w:tcPr>
            <w:tcW w:w="1026" w:type="dxa"/>
            <w:shd w:val="clear" w:color="auto" w:fill="auto"/>
            <w:vAlign w:val="center"/>
          </w:tcPr>
          <w:p w14:paraId="3B65965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kern w:val="2"/>
                <w:sz w:val="24"/>
                <w:szCs w:val="24"/>
                <w:vertAlign w:val="baseline"/>
                <w:lang w:val="en-US" w:eastAsia="zh-CN" w:bidi="ar-SA"/>
              </w:rPr>
            </w:pPr>
            <w:r>
              <w:rPr>
                <w:rFonts w:hint="eastAsia" w:ascii="仿宋_GB2312" w:hAnsi="仿宋_GB2312" w:eastAsia="仿宋_GB2312" w:cs="仿宋_GB2312"/>
                <w:b w:val="0"/>
                <w:i w:val="0"/>
                <w:iCs w:val="0"/>
                <w:color w:val="000000"/>
                <w:kern w:val="0"/>
                <w:sz w:val="24"/>
                <w:szCs w:val="24"/>
                <w:u w:val="none"/>
                <w:lang w:val="en-US" w:eastAsia="zh-CN" w:bidi="ar"/>
              </w:rPr>
              <w:t>87.9%</w:t>
            </w:r>
          </w:p>
        </w:tc>
      </w:tr>
      <w:tr w14:paraId="6360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020" w:type="dxa"/>
            <w:vMerge w:val="continue"/>
            <w:shd w:val="clear" w:color="auto" w:fill="auto"/>
            <w:vAlign w:val="center"/>
          </w:tcPr>
          <w:p w14:paraId="644A034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p>
        </w:tc>
        <w:tc>
          <w:tcPr>
            <w:tcW w:w="1634" w:type="dxa"/>
            <w:shd w:val="clear" w:color="auto" w:fill="auto"/>
            <w:vAlign w:val="center"/>
          </w:tcPr>
          <w:p w14:paraId="2F1492B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Style w:val="49"/>
                <w:rFonts w:hint="eastAsia" w:ascii="仿宋_GB2312" w:hAnsi="仿宋_GB2312" w:eastAsia="仿宋_GB2312" w:cs="仿宋_GB2312"/>
                <w:b w:val="0"/>
                <w:sz w:val="24"/>
                <w:szCs w:val="24"/>
                <w:lang w:val="en-US" w:eastAsia="zh-CN" w:bidi="ar"/>
              </w:rPr>
            </w:pPr>
            <w:r>
              <w:rPr>
                <w:rFonts w:hint="eastAsia" w:ascii="仿宋_GB2312" w:hAnsi="仿宋_GB2312" w:eastAsia="仿宋_GB2312" w:cs="仿宋_GB2312"/>
                <w:b w:val="0"/>
                <w:bCs w:val="0"/>
                <w:sz w:val="24"/>
                <w:szCs w:val="24"/>
                <w:lang w:val="en-US" w:eastAsia="zh-CN"/>
              </w:rPr>
              <w:t>0.1%甲酸甲醇</w:t>
            </w:r>
          </w:p>
        </w:tc>
        <w:tc>
          <w:tcPr>
            <w:tcW w:w="1355" w:type="dxa"/>
            <w:shd w:val="clear" w:color="auto" w:fill="auto"/>
            <w:vAlign w:val="center"/>
          </w:tcPr>
          <w:p w14:paraId="67CDD97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92.6</w:t>
            </w:r>
          </w:p>
        </w:tc>
        <w:tc>
          <w:tcPr>
            <w:tcW w:w="1355" w:type="dxa"/>
            <w:shd w:val="clear" w:color="auto" w:fill="auto"/>
            <w:vAlign w:val="center"/>
          </w:tcPr>
          <w:p w14:paraId="03FD6EE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93.5</w:t>
            </w:r>
          </w:p>
        </w:tc>
        <w:tc>
          <w:tcPr>
            <w:tcW w:w="1355" w:type="dxa"/>
            <w:shd w:val="clear" w:color="auto" w:fill="auto"/>
            <w:vAlign w:val="center"/>
          </w:tcPr>
          <w:p w14:paraId="0B2D4F1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92.4</w:t>
            </w:r>
          </w:p>
        </w:tc>
        <w:tc>
          <w:tcPr>
            <w:tcW w:w="1358" w:type="dxa"/>
            <w:shd w:val="clear" w:color="auto" w:fill="auto"/>
            <w:vAlign w:val="center"/>
          </w:tcPr>
          <w:p w14:paraId="755C464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92.8</w:t>
            </w:r>
          </w:p>
        </w:tc>
        <w:tc>
          <w:tcPr>
            <w:tcW w:w="1026" w:type="dxa"/>
            <w:shd w:val="clear" w:color="auto" w:fill="auto"/>
            <w:vAlign w:val="center"/>
          </w:tcPr>
          <w:p w14:paraId="5AE9E71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92.8%</w:t>
            </w:r>
          </w:p>
        </w:tc>
      </w:tr>
      <w:tr w14:paraId="248D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020" w:type="dxa"/>
            <w:vMerge w:val="continue"/>
            <w:shd w:val="clear" w:color="auto" w:fill="auto"/>
            <w:vAlign w:val="center"/>
          </w:tcPr>
          <w:p w14:paraId="08EBB73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p>
        </w:tc>
        <w:tc>
          <w:tcPr>
            <w:tcW w:w="1634" w:type="dxa"/>
            <w:shd w:val="clear" w:color="auto" w:fill="auto"/>
            <w:vAlign w:val="center"/>
          </w:tcPr>
          <w:p w14:paraId="1E59DF4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Style w:val="49"/>
                <w:rFonts w:hint="eastAsia" w:ascii="仿宋_GB2312" w:hAnsi="仿宋_GB2312" w:eastAsia="仿宋_GB2312" w:cs="仿宋_GB2312"/>
                <w:b w:val="0"/>
                <w:sz w:val="24"/>
                <w:szCs w:val="24"/>
                <w:lang w:val="en-US" w:eastAsia="zh-CN" w:bidi="ar"/>
              </w:rPr>
            </w:pPr>
            <w:r>
              <w:rPr>
                <w:rFonts w:hint="eastAsia" w:ascii="仿宋_GB2312" w:hAnsi="仿宋_GB2312" w:eastAsia="仿宋_GB2312" w:cs="仿宋_GB2312"/>
                <w:b w:val="0"/>
                <w:bCs w:val="0"/>
                <w:sz w:val="24"/>
                <w:szCs w:val="24"/>
                <w:lang w:val="en-US" w:eastAsia="zh-CN"/>
              </w:rPr>
              <w:t>0.1%甲酸乙腈</w:t>
            </w:r>
          </w:p>
        </w:tc>
        <w:tc>
          <w:tcPr>
            <w:tcW w:w="1355" w:type="dxa"/>
            <w:shd w:val="clear" w:color="auto" w:fill="auto"/>
            <w:vAlign w:val="center"/>
          </w:tcPr>
          <w:p w14:paraId="6243752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96.1</w:t>
            </w:r>
          </w:p>
        </w:tc>
        <w:tc>
          <w:tcPr>
            <w:tcW w:w="1355" w:type="dxa"/>
            <w:shd w:val="clear" w:color="auto" w:fill="auto"/>
            <w:vAlign w:val="center"/>
          </w:tcPr>
          <w:p w14:paraId="362C964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95.5</w:t>
            </w:r>
          </w:p>
        </w:tc>
        <w:tc>
          <w:tcPr>
            <w:tcW w:w="1355" w:type="dxa"/>
            <w:shd w:val="clear" w:color="auto" w:fill="auto"/>
            <w:vAlign w:val="center"/>
          </w:tcPr>
          <w:p w14:paraId="09857E9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91.4</w:t>
            </w:r>
          </w:p>
        </w:tc>
        <w:tc>
          <w:tcPr>
            <w:tcW w:w="1358" w:type="dxa"/>
            <w:shd w:val="clear" w:color="auto" w:fill="auto"/>
            <w:vAlign w:val="center"/>
          </w:tcPr>
          <w:p w14:paraId="692C315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94.3</w:t>
            </w:r>
          </w:p>
        </w:tc>
        <w:tc>
          <w:tcPr>
            <w:tcW w:w="1026" w:type="dxa"/>
            <w:shd w:val="clear" w:color="auto" w:fill="auto"/>
            <w:vAlign w:val="center"/>
          </w:tcPr>
          <w:p w14:paraId="4BC02DD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94.3%</w:t>
            </w:r>
          </w:p>
        </w:tc>
      </w:tr>
      <w:tr w14:paraId="0894D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020" w:type="dxa"/>
            <w:vMerge w:val="restart"/>
            <w:shd w:val="clear" w:color="auto" w:fill="auto"/>
            <w:vAlign w:val="center"/>
          </w:tcPr>
          <w:p w14:paraId="0D48FC4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榴莲肉</w:t>
            </w:r>
          </w:p>
        </w:tc>
        <w:tc>
          <w:tcPr>
            <w:tcW w:w="1634" w:type="dxa"/>
            <w:shd w:val="clear" w:color="auto" w:fill="auto"/>
            <w:vAlign w:val="center"/>
          </w:tcPr>
          <w:p w14:paraId="1BE163E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kern w:val="2"/>
                <w:sz w:val="24"/>
                <w:szCs w:val="24"/>
                <w:vertAlign w:val="baseline"/>
                <w:lang w:val="en-US" w:eastAsia="zh-CN" w:bidi="ar-SA"/>
              </w:rPr>
            </w:pPr>
            <w:r>
              <w:rPr>
                <w:rFonts w:hint="eastAsia" w:ascii="仿宋_GB2312" w:hAnsi="仿宋_GB2312" w:eastAsia="仿宋_GB2312" w:cs="仿宋_GB2312"/>
                <w:b w:val="0"/>
                <w:bCs w:val="0"/>
                <w:color w:val="000000"/>
                <w:sz w:val="24"/>
                <w:szCs w:val="24"/>
                <w:vertAlign w:val="baseline"/>
                <w:lang w:val="en-US" w:eastAsia="zh-CN"/>
              </w:rPr>
              <w:t>乙腈</w:t>
            </w:r>
          </w:p>
        </w:tc>
        <w:tc>
          <w:tcPr>
            <w:tcW w:w="1355" w:type="dxa"/>
            <w:shd w:val="clear" w:color="auto" w:fill="auto"/>
            <w:vAlign w:val="center"/>
          </w:tcPr>
          <w:p w14:paraId="213B223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72.7</w:t>
            </w:r>
          </w:p>
        </w:tc>
        <w:tc>
          <w:tcPr>
            <w:tcW w:w="1355" w:type="dxa"/>
            <w:shd w:val="clear" w:color="auto" w:fill="auto"/>
            <w:vAlign w:val="center"/>
          </w:tcPr>
          <w:p w14:paraId="179292C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72.7</w:t>
            </w:r>
          </w:p>
        </w:tc>
        <w:tc>
          <w:tcPr>
            <w:tcW w:w="1355" w:type="dxa"/>
            <w:shd w:val="clear" w:color="auto" w:fill="auto"/>
            <w:vAlign w:val="center"/>
          </w:tcPr>
          <w:p w14:paraId="311DF27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69.9</w:t>
            </w:r>
          </w:p>
        </w:tc>
        <w:tc>
          <w:tcPr>
            <w:tcW w:w="1358" w:type="dxa"/>
            <w:shd w:val="clear" w:color="auto" w:fill="auto"/>
            <w:vAlign w:val="center"/>
          </w:tcPr>
          <w:p w14:paraId="440D46D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71.8</w:t>
            </w:r>
          </w:p>
        </w:tc>
        <w:tc>
          <w:tcPr>
            <w:tcW w:w="1026" w:type="dxa"/>
            <w:shd w:val="clear" w:color="auto" w:fill="auto"/>
            <w:vAlign w:val="center"/>
          </w:tcPr>
          <w:p w14:paraId="4F94079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71.8%</w:t>
            </w:r>
          </w:p>
        </w:tc>
      </w:tr>
      <w:tr w14:paraId="04226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020" w:type="dxa"/>
            <w:vMerge w:val="continue"/>
            <w:shd w:val="clear" w:color="auto" w:fill="auto"/>
            <w:vAlign w:val="center"/>
          </w:tcPr>
          <w:p w14:paraId="715ADFF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p>
        </w:tc>
        <w:tc>
          <w:tcPr>
            <w:tcW w:w="1634" w:type="dxa"/>
            <w:shd w:val="clear" w:color="auto" w:fill="auto"/>
            <w:vAlign w:val="center"/>
          </w:tcPr>
          <w:p w14:paraId="5EDD453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2"/>
                <w:sz w:val="24"/>
                <w:szCs w:val="24"/>
                <w:u w:val="none"/>
                <w:lang w:val="en-US" w:eastAsia="zh-CN" w:bidi="ar"/>
              </w:rPr>
            </w:pPr>
            <w:r>
              <w:rPr>
                <w:rStyle w:val="49"/>
                <w:rFonts w:hint="eastAsia" w:ascii="仿宋_GB2312" w:hAnsi="仿宋_GB2312" w:eastAsia="仿宋_GB2312" w:cs="仿宋_GB2312"/>
                <w:b w:val="0"/>
                <w:sz w:val="24"/>
                <w:szCs w:val="24"/>
                <w:lang w:val="en-US" w:eastAsia="zh-CN" w:bidi="ar"/>
              </w:rPr>
              <w:t>甲醇</w:t>
            </w:r>
          </w:p>
        </w:tc>
        <w:tc>
          <w:tcPr>
            <w:tcW w:w="1355" w:type="dxa"/>
            <w:shd w:val="clear" w:color="auto" w:fill="auto"/>
            <w:vAlign w:val="center"/>
          </w:tcPr>
          <w:p w14:paraId="68D5863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83.2 </w:t>
            </w:r>
          </w:p>
        </w:tc>
        <w:tc>
          <w:tcPr>
            <w:tcW w:w="1355" w:type="dxa"/>
            <w:shd w:val="clear" w:color="auto" w:fill="auto"/>
            <w:vAlign w:val="center"/>
          </w:tcPr>
          <w:p w14:paraId="10A87EE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85.5 </w:t>
            </w:r>
          </w:p>
        </w:tc>
        <w:tc>
          <w:tcPr>
            <w:tcW w:w="1355" w:type="dxa"/>
            <w:shd w:val="clear" w:color="auto" w:fill="auto"/>
            <w:vAlign w:val="center"/>
          </w:tcPr>
          <w:p w14:paraId="7B08C09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82.0 </w:t>
            </w:r>
          </w:p>
        </w:tc>
        <w:tc>
          <w:tcPr>
            <w:tcW w:w="1358" w:type="dxa"/>
            <w:shd w:val="clear" w:color="auto" w:fill="auto"/>
            <w:vAlign w:val="center"/>
          </w:tcPr>
          <w:p w14:paraId="580848A4">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83.7 </w:t>
            </w:r>
          </w:p>
        </w:tc>
        <w:tc>
          <w:tcPr>
            <w:tcW w:w="1026" w:type="dxa"/>
            <w:shd w:val="clear" w:color="auto" w:fill="auto"/>
            <w:vAlign w:val="center"/>
          </w:tcPr>
          <w:p w14:paraId="12D3019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83.7%</w:t>
            </w:r>
          </w:p>
        </w:tc>
      </w:tr>
      <w:tr w14:paraId="02E2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1020" w:type="dxa"/>
            <w:vMerge w:val="continue"/>
            <w:shd w:val="clear" w:color="auto" w:fill="auto"/>
            <w:vAlign w:val="center"/>
          </w:tcPr>
          <w:p w14:paraId="5D8A3A1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p>
        </w:tc>
        <w:tc>
          <w:tcPr>
            <w:tcW w:w="1634" w:type="dxa"/>
            <w:shd w:val="clear" w:color="auto" w:fill="auto"/>
            <w:vAlign w:val="center"/>
          </w:tcPr>
          <w:p w14:paraId="6F4E05D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2"/>
                <w:sz w:val="24"/>
                <w:szCs w:val="24"/>
                <w:u w:val="none"/>
                <w:lang w:val="en-US" w:eastAsia="zh-CN" w:bidi="ar"/>
              </w:rPr>
            </w:pPr>
            <w:r>
              <w:rPr>
                <w:rFonts w:hint="eastAsia" w:ascii="仿宋_GB2312" w:hAnsi="仿宋_GB2312" w:eastAsia="仿宋_GB2312" w:cs="仿宋_GB2312"/>
                <w:b w:val="0"/>
                <w:bCs w:val="0"/>
                <w:sz w:val="24"/>
                <w:szCs w:val="24"/>
                <w:lang w:val="en-US" w:eastAsia="zh-CN"/>
              </w:rPr>
              <w:t>0.1%甲酸甲醇</w:t>
            </w:r>
          </w:p>
        </w:tc>
        <w:tc>
          <w:tcPr>
            <w:tcW w:w="1355" w:type="dxa"/>
            <w:shd w:val="clear" w:color="auto" w:fill="auto"/>
            <w:vAlign w:val="center"/>
          </w:tcPr>
          <w:p w14:paraId="1E7B632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95.1 </w:t>
            </w:r>
          </w:p>
        </w:tc>
        <w:tc>
          <w:tcPr>
            <w:tcW w:w="1355" w:type="dxa"/>
            <w:shd w:val="clear" w:color="auto" w:fill="auto"/>
            <w:vAlign w:val="center"/>
          </w:tcPr>
          <w:p w14:paraId="6EDD07C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97.2 </w:t>
            </w:r>
          </w:p>
        </w:tc>
        <w:tc>
          <w:tcPr>
            <w:tcW w:w="1355" w:type="dxa"/>
            <w:shd w:val="clear" w:color="auto" w:fill="auto"/>
            <w:vAlign w:val="center"/>
          </w:tcPr>
          <w:p w14:paraId="4BD1DCB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95.5 </w:t>
            </w:r>
          </w:p>
        </w:tc>
        <w:tc>
          <w:tcPr>
            <w:tcW w:w="1358" w:type="dxa"/>
            <w:shd w:val="clear" w:color="auto" w:fill="auto"/>
            <w:vAlign w:val="center"/>
          </w:tcPr>
          <w:p w14:paraId="2F7CE35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95.9 </w:t>
            </w:r>
          </w:p>
        </w:tc>
        <w:tc>
          <w:tcPr>
            <w:tcW w:w="1026" w:type="dxa"/>
            <w:shd w:val="clear" w:color="auto" w:fill="auto"/>
            <w:vAlign w:val="center"/>
          </w:tcPr>
          <w:p w14:paraId="10CCAF4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95.9%</w:t>
            </w:r>
          </w:p>
        </w:tc>
      </w:tr>
      <w:tr w14:paraId="4872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020" w:type="dxa"/>
            <w:vMerge w:val="continue"/>
            <w:shd w:val="clear" w:color="auto" w:fill="auto"/>
            <w:vAlign w:val="center"/>
          </w:tcPr>
          <w:p w14:paraId="38E0C92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p>
        </w:tc>
        <w:tc>
          <w:tcPr>
            <w:tcW w:w="1634" w:type="dxa"/>
            <w:shd w:val="clear" w:color="auto" w:fill="auto"/>
            <w:vAlign w:val="center"/>
          </w:tcPr>
          <w:p w14:paraId="4941F41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2"/>
                <w:sz w:val="24"/>
                <w:szCs w:val="24"/>
                <w:u w:val="none"/>
                <w:lang w:val="en-US" w:eastAsia="zh-CN" w:bidi="ar"/>
              </w:rPr>
            </w:pPr>
            <w:r>
              <w:rPr>
                <w:rStyle w:val="49"/>
                <w:rFonts w:hint="eastAsia" w:ascii="仿宋_GB2312" w:hAnsi="仿宋_GB2312" w:eastAsia="仿宋_GB2312" w:cs="仿宋_GB2312"/>
                <w:b w:val="0"/>
                <w:sz w:val="24"/>
                <w:szCs w:val="24"/>
                <w:lang w:val="en-US" w:eastAsia="zh-CN" w:bidi="ar"/>
              </w:rPr>
              <w:t>0.1%甲酸乙腈</w:t>
            </w:r>
          </w:p>
        </w:tc>
        <w:tc>
          <w:tcPr>
            <w:tcW w:w="1355" w:type="dxa"/>
            <w:shd w:val="clear" w:color="auto" w:fill="auto"/>
            <w:vAlign w:val="center"/>
          </w:tcPr>
          <w:p w14:paraId="10B287E2">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93.4 </w:t>
            </w:r>
          </w:p>
        </w:tc>
        <w:tc>
          <w:tcPr>
            <w:tcW w:w="1355" w:type="dxa"/>
            <w:shd w:val="clear" w:color="auto" w:fill="auto"/>
            <w:vAlign w:val="center"/>
          </w:tcPr>
          <w:p w14:paraId="50EA79C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96.4 </w:t>
            </w:r>
          </w:p>
        </w:tc>
        <w:tc>
          <w:tcPr>
            <w:tcW w:w="1355" w:type="dxa"/>
            <w:shd w:val="clear" w:color="auto" w:fill="auto"/>
            <w:vAlign w:val="center"/>
          </w:tcPr>
          <w:p w14:paraId="1EB0058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100.5 </w:t>
            </w:r>
          </w:p>
        </w:tc>
        <w:tc>
          <w:tcPr>
            <w:tcW w:w="1358" w:type="dxa"/>
            <w:shd w:val="clear" w:color="auto" w:fill="auto"/>
            <w:vAlign w:val="center"/>
          </w:tcPr>
          <w:p w14:paraId="74C67E9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 xml:space="preserve">96.8 </w:t>
            </w:r>
          </w:p>
        </w:tc>
        <w:tc>
          <w:tcPr>
            <w:tcW w:w="1026" w:type="dxa"/>
            <w:shd w:val="clear" w:color="auto" w:fill="auto"/>
            <w:vAlign w:val="center"/>
          </w:tcPr>
          <w:p w14:paraId="58461B3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i w:val="0"/>
                <w:iCs w:val="0"/>
                <w:color w:val="000000"/>
                <w:kern w:val="0"/>
                <w:sz w:val="24"/>
                <w:szCs w:val="24"/>
                <w:u w:val="none"/>
                <w:lang w:val="en-US" w:eastAsia="zh-CN" w:bidi="ar"/>
              </w:rPr>
            </w:pPr>
            <w:r>
              <w:rPr>
                <w:rFonts w:hint="eastAsia" w:ascii="仿宋_GB2312" w:hAnsi="仿宋_GB2312" w:eastAsia="仿宋_GB2312" w:cs="仿宋_GB2312"/>
                <w:b w:val="0"/>
                <w:i w:val="0"/>
                <w:iCs w:val="0"/>
                <w:color w:val="000000"/>
                <w:kern w:val="0"/>
                <w:sz w:val="24"/>
                <w:szCs w:val="24"/>
                <w:u w:val="none"/>
                <w:lang w:val="en-US" w:eastAsia="zh-CN" w:bidi="ar"/>
              </w:rPr>
              <w:t>96.8%</w:t>
            </w:r>
          </w:p>
        </w:tc>
      </w:tr>
    </w:tbl>
    <w:p w14:paraId="12E50981">
      <w:pPr>
        <w:pStyle w:val="2"/>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auto"/>
        <w:rPr>
          <w:rFonts w:hint="eastAsia" w:ascii="仿宋_GB2312" w:hAnsi="仿宋_GB2312" w:cs="仿宋_GB2312"/>
          <w:szCs w:val="32"/>
          <w:lang w:val="zh-CN"/>
        </w:rPr>
      </w:pPr>
      <w:r>
        <w:rPr>
          <w:rFonts w:hint="default" w:ascii="仿宋_GB2312" w:hAnsi="仿宋_GB2312" w:eastAsia="仿宋_GB2312" w:cs="仿宋_GB2312"/>
          <w:kern w:val="2"/>
          <w:sz w:val="32"/>
          <w:szCs w:val="32"/>
          <w:lang w:val="en-US" w:eastAsia="zh-CN" w:bidi="ar-SA"/>
        </w:rPr>
        <w:t>根据试验结果，4种提取溶剂对于榴莲果皮以及榴莲果肉中碱性嫩黄O的回收率均达到70%以上，采用0.1%甲酸甲醇和0.1%甲酸乙腈的回收率均达到90%以上，0.1%甲酸乙腈在榴莲皮和榴莲肉中的回收率最佳，因此选用酸化乙腈作为提取溶剂。</w:t>
      </w:r>
    </w:p>
    <w:p w14:paraId="45661FC6">
      <w:pPr>
        <w:ind w:firstLine="643"/>
        <w:rPr>
          <w:rFonts w:hint="eastAsia" w:ascii="仿宋_GB2312" w:hAnsi="仿宋_GB2312" w:eastAsia="仿宋_GB2312" w:cs="仿宋_GB2312"/>
          <w:b/>
          <w:bCs/>
          <w:szCs w:val="32"/>
          <w:lang w:val="zh-CN" w:eastAsia="zh-CN"/>
        </w:rPr>
      </w:pPr>
      <w:r>
        <w:rPr>
          <w:rFonts w:hint="eastAsia" w:ascii="仿宋_GB2312" w:hAnsi="仿宋_GB2312" w:cs="仿宋_GB2312"/>
          <w:b/>
          <w:bCs/>
          <w:szCs w:val="32"/>
          <w:lang w:val="zh-CN"/>
        </w:rPr>
        <w:t>(二）</w:t>
      </w:r>
      <w:r>
        <w:rPr>
          <w:rFonts w:hint="eastAsia" w:ascii="仿宋_GB2312" w:hAnsi="仿宋_GB2312" w:cs="仿宋_GB2312"/>
          <w:b/>
          <w:bCs/>
          <w:szCs w:val="32"/>
        </w:rPr>
        <w:t>试剂与</w:t>
      </w:r>
      <w:r>
        <w:rPr>
          <w:rFonts w:hint="eastAsia" w:ascii="仿宋_GB2312" w:hAnsi="仿宋_GB2312" w:cs="仿宋_GB2312"/>
          <w:b/>
          <w:bCs/>
          <w:szCs w:val="32"/>
          <w:lang w:val="en-US" w:eastAsia="zh-CN"/>
        </w:rPr>
        <w:t>材料</w:t>
      </w:r>
    </w:p>
    <w:p w14:paraId="7C1C994D">
      <w:pPr>
        <w:ind w:firstLine="640"/>
        <w:rPr>
          <w:rFonts w:hint="eastAsia" w:ascii="仿宋_GB2312" w:hAnsi="仿宋_GB2312" w:cs="仿宋_GB2312"/>
          <w:szCs w:val="32"/>
        </w:rPr>
      </w:pPr>
      <w:r>
        <w:rPr>
          <w:rFonts w:hint="eastAsia" w:ascii="仿宋_GB2312" w:hAnsi="仿宋_GB2312" w:cs="仿宋_GB2312"/>
          <w:szCs w:val="32"/>
          <w:lang w:val="en-US" w:eastAsia="zh-CN"/>
        </w:rPr>
        <w:t>2.1</w:t>
      </w:r>
      <w:r>
        <w:rPr>
          <w:rFonts w:hint="eastAsia" w:ascii="仿宋_GB2312" w:hAnsi="仿宋_GB2312" w:cs="仿宋_GB2312"/>
          <w:szCs w:val="32"/>
        </w:rPr>
        <w:t>试剂</w:t>
      </w:r>
    </w:p>
    <w:p w14:paraId="1B8CB0D6">
      <w:pPr>
        <w:ind w:firstLine="640"/>
        <w:rPr>
          <w:rFonts w:hint="eastAsia" w:ascii="仿宋_GB2312" w:hAnsi="仿宋_GB2312" w:cs="仿宋_GB2312"/>
          <w:szCs w:val="32"/>
        </w:rPr>
      </w:pPr>
      <w:r>
        <w:rPr>
          <w:rFonts w:hint="eastAsia" w:ascii="仿宋_GB2312" w:hAnsi="仿宋_GB2312" w:cs="仿宋_GB2312"/>
          <w:szCs w:val="32"/>
        </w:rPr>
        <w:t>除另有说明，本方法所用试剂均为分析纯，水为GB/T 6682规定的一级水。</w:t>
      </w:r>
    </w:p>
    <w:p w14:paraId="7C6F5C66">
      <w:pPr>
        <w:ind w:firstLine="640"/>
        <w:rPr>
          <w:rFonts w:hint="eastAsia" w:ascii="仿宋_GB2312" w:hAnsi="仿宋_GB2312" w:cs="仿宋_GB2312"/>
          <w:szCs w:val="32"/>
        </w:rPr>
      </w:pPr>
      <w:r>
        <w:rPr>
          <w:rFonts w:hint="eastAsia" w:ascii="仿宋_GB2312" w:hAnsi="仿宋_GB2312" w:cs="仿宋_GB2312"/>
          <w:szCs w:val="32"/>
          <w:lang w:val="en-US" w:eastAsia="zh-CN"/>
        </w:rPr>
        <w:t>（1）</w:t>
      </w:r>
      <w:r>
        <w:rPr>
          <w:rFonts w:hint="eastAsia" w:ascii="仿宋_GB2312" w:hAnsi="仿宋_GB2312" w:cs="仿宋_GB2312"/>
          <w:szCs w:val="32"/>
        </w:rPr>
        <w:t>乙腈（HCN）：色谱纯。</w:t>
      </w:r>
    </w:p>
    <w:p w14:paraId="2A166395">
      <w:pPr>
        <w:ind w:firstLine="640"/>
        <w:rPr>
          <w:rFonts w:hint="eastAsia" w:ascii="仿宋_GB2312" w:hAnsi="仿宋_GB2312" w:cs="仿宋_GB2312"/>
          <w:szCs w:val="32"/>
        </w:rPr>
      </w:pPr>
      <w:r>
        <w:rPr>
          <w:rFonts w:hint="eastAsia" w:ascii="仿宋_GB2312" w:hAnsi="仿宋_GB2312" w:cs="仿宋_GB2312"/>
          <w:szCs w:val="32"/>
          <w:lang w:val="en-US" w:eastAsia="zh-CN"/>
        </w:rPr>
        <w:t>（2）</w:t>
      </w:r>
      <w:r>
        <w:rPr>
          <w:rFonts w:hint="eastAsia" w:ascii="仿宋_GB2312" w:hAnsi="仿宋_GB2312" w:cs="仿宋_GB2312"/>
          <w:szCs w:val="32"/>
        </w:rPr>
        <w:t>乙酸铵（CH3COONH4)：色谱纯。</w:t>
      </w:r>
    </w:p>
    <w:p w14:paraId="149755D7">
      <w:pPr>
        <w:ind w:firstLine="640"/>
        <w:rPr>
          <w:rFonts w:hint="eastAsia" w:ascii="仿宋_GB2312" w:hAnsi="仿宋_GB2312" w:cs="仿宋_GB2312"/>
          <w:szCs w:val="32"/>
        </w:rPr>
      </w:pPr>
      <w:r>
        <w:rPr>
          <w:rFonts w:hint="eastAsia" w:ascii="仿宋_GB2312" w:hAnsi="仿宋_GB2312" w:cs="仿宋_GB2312"/>
          <w:szCs w:val="32"/>
          <w:lang w:val="en-US" w:eastAsia="zh-CN"/>
        </w:rPr>
        <w:t>（3）</w:t>
      </w:r>
      <w:r>
        <w:rPr>
          <w:rFonts w:hint="eastAsia" w:ascii="仿宋_GB2312" w:hAnsi="仿宋_GB2312" w:cs="仿宋_GB2312"/>
          <w:szCs w:val="32"/>
        </w:rPr>
        <w:t>甲酸（HCOOH)：优级纯。</w:t>
      </w:r>
    </w:p>
    <w:p w14:paraId="064E50E9">
      <w:pPr>
        <w:ind w:firstLine="640"/>
        <w:rPr>
          <w:rFonts w:hint="eastAsia" w:ascii="仿宋_GB2312" w:hAnsi="仿宋_GB2312" w:cs="仿宋_GB2312"/>
          <w:szCs w:val="32"/>
        </w:rPr>
      </w:pPr>
      <w:r>
        <w:rPr>
          <w:rFonts w:hint="eastAsia" w:ascii="仿宋_GB2312" w:hAnsi="仿宋_GB2312" w:cs="仿宋_GB2312"/>
          <w:szCs w:val="32"/>
          <w:lang w:val="en-US" w:eastAsia="zh-CN"/>
        </w:rPr>
        <w:t>（4）</w:t>
      </w:r>
      <w:r>
        <w:rPr>
          <w:rFonts w:hint="eastAsia" w:ascii="仿宋_GB2312" w:hAnsi="仿宋_GB2312" w:cs="仿宋_GB2312"/>
          <w:szCs w:val="32"/>
        </w:rPr>
        <w:t>无水硫酸镁（MgSO4）：分析纯。</w:t>
      </w:r>
    </w:p>
    <w:p w14:paraId="6BFB89BD">
      <w:pPr>
        <w:ind w:firstLine="640"/>
        <w:rPr>
          <w:rFonts w:hint="eastAsia" w:ascii="仿宋_GB2312" w:hAnsi="仿宋_GB2312" w:cs="仿宋_GB2312"/>
          <w:szCs w:val="32"/>
        </w:rPr>
      </w:pPr>
      <w:r>
        <w:rPr>
          <w:rFonts w:hint="eastAsia" w:ascii="仿宋_GB2312" w:hAnsi="仿宋_GB2312" w:cs="仿宋_GB2312"/>
          <w:szCs w:val="32"/>
          <w:lang w:val="en-US" w:eastAsia="zh-CN"/>
        </w:rPr>
        <w:t>（5）</w:t>
      </w:r>
      <w:r>
        <w:rPr>
          <w:rFonts w:hint="eastAsia" w:ascii="仿宋_GB2312" w:hAnsi="仿宋_GB2312" w:cs="仿宋_GB2312"/>
          <w:szCs w:val="32"/>
        </w:rPr>
        <w:t>十八烷基硅烷键合硅胶（C18）：40 μm～100 μm。</w:t>
      </w:r>
    </w:p>
    <w:p w14:paraId="193E2FD9">
      <w:pPr>
        <w:ind w:firstLine="640"/>
        <w:rPr>
          <w:rFonts w:hint="eastAsia" w:ascii="仿宋_GB2312" w:hAnsi="仿宋_GB2312" w:cs="仿宋_GB2312"/>
          <w:szCs w:val="32"/>
        </w:rPr>
      </w:pPr>
      <w:r>
        <w:rPr>
          <w:rFonts w:hint="eastAsia" w:ascii="仿宋_GB2312" w:hAnsi="仿宋_GB2312" w:cs="仿宋_GB2312"/>
          <w:szCs w:val="32"/>
          <w:lang w:val="en-US" w:eastAsia="zh-CN"/>
        </w:rPr>
        <w:t>（6）</w:t>
      </w:r>
      <w:r>
        <w:rPr>
          <w:rFonts w:hint="eastAsia" w:ascii="仿宋_GB2312" w:hAnsi="仿宋_GB2312" w:cs="仿宋_GB2312"/>
          <w:szCs w:val="32"/>
        </w:rPr>
        <w:t>QuEChERS 净化粉末：每份含 C18150 mg、MgSO4300 mg。</w:t>
      </w:r>
    </w:p>
    <w:p w14:paraId="67124A9C">
      <w:pPr>
        <w:ind w:firstLine="640"/>
        <w:rPr>
          <w:rFonts w:hint="eastAsia" w:ascii="仿宋_GB2312" w:hAnsi="仿宋_GB2312" w:cs="仿宋_GB2312"/>
          <w:szCs w:val="32"/>
        </w:rPr>
      </w:pPr>
      <w:r>
        <w:rPr>
          <w:rFonts w:hint="eastAsia" w:ascii="仿宋_GB2312" w:hAnsi="仿宋_GB2312" w:cs="仿宋_GB2312"/>
          <w:szCs w:val="32"/>
          <w:lang w:val="en-US" w:eastAsia="zh-CN"/>
        </w:rPr>
        <w:t>（7）</w:t>
      </w:r>
      <w:r>
        <w:rPr>
          <w:rFonts w:hint="eastAsia" w:ascii="仿宋_GB2312" w:hAnsi="仿宋_GB2312" w:cs="仿宋_GB2312"/>
          <w:szCs w:val="32"/>
        </w:rPr>
        <w:t>　N-丙基乙二胺（PSA）：40 μm～100 μm。</w:t>
      </w:r>
    </w:p>
    <w:p w14:paraId="09B5E390">
      <w:pPr>
        <w:ind w:firstLine="640"/>
        <w:rPr>
          <w:rFonts w:hint="eastAsia" w:ascii="仿宋_GB2312" w:hAnsi="仿宋_GB2312" w:cs="仿宋_GB2312"/>
          <w:szCs w:val="32"/>
        </w:rPr>
      </w:pPr>
      <w:r>
        <w:rPr>
          <w:rFonts w:hint="eastAsia" w:ascii="仿宋_GB2312" w:hAnsi="仿宋_GB2312" w:cs="仿宋_GB2312"/>
          <w:szCs w:val="32"/>
          <w:lang w:val="en-US" w:eastAsia="zh-CN"/>
        </w:rPr>
        <w:t>（8）</w:t>
      </w:r>
      <w:r>
        <w:rPr>
          <w:rFonts w:hint="eastAsia" w:ascii="仿宋_GB2312" w:hAnsi="仿宋_GB2312" w:cs="仿宋_GB2312"/>
          <w:szCs w:val="32"/>
        </w:rPr>
        <w:t>5 mmol/L乙酸铵溶液（含0.1％甲酸）：称取0.385 g乙酸铵，加入适量水溶解，再加入1 mL甲酸，用水定容至1 000 mL。</w:t>
      </w:r>
    </w:p>
    <w:p w14:paraId="7938208B">
      <w:pPr>
        <w:ind w:firstLine="640"/>
        <w:rPr>
          <w:rFonts w:hint="eastAsia" w:ascii="仿宋_GB2312" w:hAnsi="仿宋_GB2312" w:cs="仿宋_GB2312"/>
          <w:szCs w:val="32"/>
        </w:rPr>
      </w:pPr>
      <w:r>
        <w:rPr>
          <w:rFonts w:hint="eastAsia" w:ascii="仿宋_GB2312" w:hAnsi="仿宋_GB2312" w:cs="仿宋_GB2312"/>
          <w:szCs w:val="32"/>
          <w:lang w:val="en-US" w:eastAsia="zh-CN"/>
        </w:rPr>
        <w:t>2.2</w:t>
      </w:r>
      <w:r>
        <w:rPr>
          <w:rFonts w:hint="eastAsia" w:ascii="仿宋_GB2312" w:hAnsi="仿宋_GB2312" w:cs="仿宋_GB2312"/>
          <w:szCs w:val="32"/>
        </w:rPr>
        <w:t>标准品</w:t>
      </w:r>
    </w:p>
    <w:p w14:paraId="794D30C2">
      <w:pPr>
        <w:ind w:firstLine="640"/>
        <w:rPr>
          <w:rFonts w:hint="eastAsia" w:ascii="仿宋_GB2312" w:hAnsi="仿宋_GB2312" w:cs="仿宋_GB2312"/>
          <w:szCs w:val="32"/>
        </w:rPr>
      </w:pPr>
      <w:r>
        <w:rPr>
          <w:rFonts w:hint="eastAsia" w:ascii="仿宋_GB2312" w:hAnsi="仿宋_GB2312" w:cs="仿宋_GB2312"/>
          <w:szCs w:val="32"/>
        </w:rPr>
        <w:t>碱性嫩黄O：（C17H22N3Cl，CAS号：2465-27-2）：纯度≥90％，或具有标准物质证书的标准品。</w:t>
      </w:r>
    </w:p>
    <w:p w14:paraId="64551671">
      <w:pPr>
        <w:ind w:firstLine="640"/>
        <w:rPr>
          <w:rFonts w:hint="eastAsia" w:ascii="仿宋_GB2312" w:hAnsi="仿宋_GB2312" w:cs="仿宋_GB2312"/>
          <w:szCs w:val="32"/>
        </w:rPr>
      </w:pPr>
      <w:r>
        <w:rPr>
          <w:rFonts w:hint="eastAsia" w:ascii="仿宋_GB2312" w:hAnsi="仿宋_GB2312" w:cs="仿宋_GB2312"/>
          <w:szCs w:val="32"/>
          <w:lang w:val="en-US" w:eastAsia="zh-CN"/>
        </w:rPr>
        <w:t>2.3</w:t>
      </w:r>
      <w:r>
        <w:rPr>
          <w:rFonts w:hint="eastAsia" w:ascii="仿宋_GB2312" w:hAnsi="仿宋_GB2312" w:cs="仿宋_GB2312"/>
          <w:szCs w:val="32"/>
        </w:rPr>
        <w:t>标准溶液配制</w:t>
      </w:r>
    </w:p>
    <w:p w14:paraId="4E991274">
      <w:pPr>
        <w:ind w:firstLine="640"/>
        <w:rPr>
          <w:rFonts w:hint="eastAsia" w:ascii="仿宋_GB2312" w:hAnsi="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w:t>
      </w:r>
      <w:r>
        <w:rPr>
          <w:rFonts w:hint="eastAsia" w:ascii="仿宋_GB2312" w:hAnsi="仿宋_GB2312" w:cs="仿宋_GB2312"/>
          <w:szCs w:val="32"/>
        </w:rPr>
        <w:t>标准品储备液（1mg/mL）：准确称取标准品10 mg（精准至0.1 mg），用乙腈溶解定容至10 mL，配制成质量浓度为1 mg/mL的标准品储备液，0 ℃～4 ℃保存，有效期3个月。</w:t>
      </w:r>
    </w:p>
    <w:p w14:paraId="3C0D7C23">
      <w:pPr>
        <w:ind w:firstLine="640"/>
        <w:rPr>
          <w:rFonts w:hint="eastAsia" w:ascii="仿宋_GB2312" w:hAnsi="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2）</w:t>
      </w:r>
      <w:r>
        <w:rPr>
          <w:rFonts w:hint="eastAsia" w:ascii="仿宋_GB2312" w:hAnsi="仿宋_GB2312" w:cs="仿宋_GB2312"/>
          <w:szCs w:val="32"/>
        </w:rPr>
        <w:t>标准中间液Ⅰ的配制（100μg/mL）：准确移取标准储备液1mL，置于10mL容量瓶中，用乙腈定容至刻度，定容并摇匀，配制成质量浓度为100μg/mL的标准中间液，0℃～4℃保存，有效期2个月。</w:t>
      </w:r>
    </w:p>
    <w:p w14:paraId="2F639F29">
      <w:pPr>
        <w:ind w:firstLine="640"/>
        <w:rPr>
          <w:rFonts w:hint="eastAsia" w:ascii="仿宋_GB2312" w:hAnsi="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3）</w:t>
      </w:r>
      <w:r>
        <w:rPr>
          <w:rFonts w:hint="eastAsia" w:ascii="仿宋_GB2312" w:hAnsi="仿宋_GB2312" w:cs="仿宋_GB2312"/>
          <w:szCs w:val="32"/>
        </w:rPr>
        <w:t>标准中间液Ⅱ的配制（10μg/mL）：准确移取标准储备液1mL，置于10mL容量瓶中，用乙腈定容至刻度，混匀，0℃～4℃保存，有效期1个月。</w:t>
      </w:r>
    </w:p>
    <w:p w14:paraId="08410F5C">
      <w:pPr>
        <w:ind w:firstLine="640"/>
        <w:rPr>
          <w:rFonts w:hint="eastAsia" w:ascii="仿宋_GB2312" w:hAnsi="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4）</w:t>
      </w:r>
      <w:r>
        <w:rPr>
          <w:rFonts w:hint="eastAsia" w:ascii="仿宋_GB2312" w:hAnsi="仿宋_GB2312" w:cs="仿宋_GB2312"/>
          <w:szCs w:val="32"/>
        </w:rPr>
        <w:t>标准中间液Ⅲ的配制（1μg/mL）：准确移取标准储备液1mL，置于10mL容量瓶中，用乙腈定容至刻度，混匀，配制成质量浓度为1μg/mL的标准中间液，0℃～4℃保存，有效期1周。</w:t>
      </w:r>
    </w:p>
    <w:p w14:paraId="57438F23">
      <w:pPr>
        <w:ind w:firstLine="640"/>
        <w:rPr>
          <w:rFonts w:hint="eastAsia" w:ascii="仿宋_GB2312" w:hAnsi="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5）</w:t>
      </w:r>
      <w:r>
        <w:rPr>
          <w:rFonts w:hint="eastAsia" w:ascii="仿宋_GB2312" w:hAnsi="仿宋_GB2312" w:cs="仿宋_GB2312"/>
          <w:szCs w:val="32"/>
        </w:rPr>
        <w:t>标准系列工作液的配制：吸取适量体积的标准中间液Ⅲ用乙腈稀释成浓度为0.1ng/mL、0.2ng/mL、0.5ng/mL、1.0ng/mL、2.0ng/mL、5ng/mL、10ng/mL、20ng/mL的标准工作溶液。</w:t>
      </w:r>
    </w:p>
    <w:p w14:paraId="6AF132FC">
      <w:pPr>
        <w:ind w:firstLine="640"/>
        <w:rPr>
          <w:rFonts w:hint="eastAsia" w:ascii="仿宋_GB2312" w:hAnsi="仿宋_GB2312" w:cs="仿宋_GB2312"/>
          <w:szCs w:val="32"/>
        </w:rPr>
      </w:pPr>
      <w:r>
        <w:rPr>
          <w:rFonts w:hint="eastAsia" w:ascii="仿宋_GB2312" w:hAnsi="仿宋_GB2312" w:cs="仿宋_GB2312"/>
          <w:szCs w:val="32"/>
          <w:lang w:val="en-US" w:eastAsia="zh-CN"/>
        </w:rPr>
        <w:t>2.4</w:t>
      </w:r>
      <w:r>
        <w:rPr>
          <w:rFonts w:hint="eastAsia" w:ascii="仿宋_GB2312" w:hAnsi="仿宋_GB2312" w:cs="仿宋_GB2312"/>
          <w:szCs w:val="32"/>
        </w:rPr>
        <w:t>材料</w:t>
      </w:r>
    </w:p>
    <w:p w14:paraId="347F15EC">
      <w:pPr>
        <w:ind w:firstLine="640"/>
        <w:rPr>
          <w:rFonts w:hint="eastAsia" w:ascii="仿宋_GB2312" w:hAnsi="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w:t>
      </w:r>
      <w:r>
        <w:rPr>
          <w:rFonts w:hint="eastAsia" w:ascii="仿宋_GB2312" w:hAnsi="仿宋_GB2312" w:cs="仿宋_GB2312"/>
          <w:szCs w:val="32"/>
        </w:rPr>
        <w:t>聚丙烯离心管：</w:t>
      </w:r>
      <w:r>
        <w:rPr>
          <w:rFonts w:hint="eastAsia" w:ascii="仿宋_GB2312" w:hAnsi="仿宋_GB2312" w:cs="仿宋_GB2312"/>
          <w:szCs w:val="32"/>
          <w:lang w:val="en-US" w:eastAsia="zh-CN"/>
        </w:rPr>
        <w:t>1</w:t>
      </w:r>
      <w:r>
        <w:rPr>
          <w:rFonts w:hint="eastAsia" w:ascii="仿宋_GB2312" w:hAnsi="仿宋_GB2312" w:cs="仿宋_GB2312"/>
          <w:szCs w:val="32"/>
        </w:rPr>
        <w:t>5mL，50mL。</w:t>
      </w:r>
    </w:p>
    <w:p w14:paraId="5490F89A">
      <w:pPr>
        <w:ind w:firstLine="640"/>
        <w:rPr>
          <w:rFonts w:hint="eastAsia" w:ascii="仿宋_GB2312" w:hAnsi="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2）</w:t>
      </w:r>
      <w:r>
        <w:rPr>
          <w:rFonts w:hint="eastAsia" w:ascii="仿宋_GB2312" w:hAnsi="仿宋_GB2312" w:cs="仿宋_GB2312"/>
          <w:szCs w:val="32"/>
        </w:rPr>
        <w:t>PTFE微孔滤膜：0.22 μm，疏水。</w:t>
      </w:r>
    </w:p>
    <w:p w14:paraId="23086BF1">
      <w:pPr>
        <w:ind w:firstLine="640"/>
        <w:rPr>
          <w:rFonts w:hint="eastAsia" w:ascii="仿宋_GB2312" w:hAnsi="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3）</w:t>
      </w:r>
      <w:r>
        <w:rPr>
          <w:rFonts w:hint="eastAsia" w:ascii="仿宋_GB2312" w:hAnsi="仿宋_GB2312" w:cs="仿宋_GB2312"/>
          <w:szCs w:val="32"/>
        </w:rPr>
        <w:t>针筒注射器</w:t>
      </w:r>
    </w:p>
    <w:p w14:paraId="02BD5315">
      <w:pPr>
        <w:ind w:firstLine="643"/>
        <w:rPr>
          <w:rFonts w:ascii="仿宋_GB2312" w:hAnsi="仿宋_GB2312" w:cs="仿宋_GB2312"/>
          <w:b/>
          <w:bCs/>
          <w:szCs w:val="32"/>
          <w:lang w:val="zh-CN"/>
        </w:rPr>
      </w:pPr>
      <w:r>
        <w:rPr>
          <w:rFonts w:hint="eastAsia" w:ascii="仿宋_GB2312" w:hAnsi="仿宋_GB2312" w:cs="仿宋_GB2312"/>
          <w:b/>
          <w:bCs/>
          <w:szCs w:val="32"/>
          <w:lang w:val="zh-CN"/>
        </w:rPr>
        <w:t>(三）</w:t>
      </w:r>
      <w:r>
        <w:rPr>
          <w:rFonts w:hint="eastAsia" w:ascii="仿宋_GB2312" w:hAnsi="仿宋_GB2312" w:cs="仿宋_GB2312"/>
          <w:b/>
          <w:bCs/>
          <w:szCs w:val="32"/>
        </w:rPr>
        <w:t>仪器和设备</w:t>
      </w:r>
    </w:p>
    <w:p w14:paraId="37D9E1EE">
      <w:pPr>
        <w:ind w:firstLine="640"/>
        <w:rPr>
          <w:rFonts w:hint="default" w:ascii="仿宋_GB2312" w:hAnsi="仿宋_GB2312" w:eastAsia="仿宋_GB2312" w:cs="仿宋_GB2312"/>
          <w:szCs w:val="32"/>
          <w:lang w:val="en-US" w:eastAsia="zh-CN"/>
        </w:rPr>
      </w:pPr>
      <w:r>
        <w:rPr>
          <w:rFonts w:hint="eastAsia" w:ascii="仿宋_GB2312" w:hAnsi="仿宋_GB2312" w:cs="仿宋_GB2312"/>
          <w:szCs w:val="32"/>
          <w:lang w:val="en-US" w:eastAsia="zh-CN"/>
        </w:rPr>
        <w:t>所需仪器设备如下：</w:t>
      </w:r>
    </w:p>
    <w:p w14:paraId="5EFD1ECF">
      <w:pPr>
        <w:ind w:firstLine="640"/>
        <w:rPr>
          <w:rFonts w:hint="eastAsia" w:ascii="仿宋_GB2312" w:hAnsi="仿宋_GB2312" w:cs="仿宋_GB2312"/>
          <w:szCs w:val="32"/>
        </w:rPr>
      </w:pPr>
      <w:r>
        <w:rPr>
          <w:rFonts w:hint="eastAsia" w:ascii="仿宋_GB2312" w:hAnsi="仿宋_GB2312" w:cs="仿宋_GB2312"/>
          <w:szCs w:val="32"/>
          <w:lang w:val="en-US" w:eastAsia="zh-CN"/>
        </w:rPr>
        <w:t>1、</w:t>
      </w:r>
      <w:r>
        <w:rPr>
          <w:rFonts w:hint="eastAsia" w:ascii="仿宋_GB2312" w:hAnsi="仿宋_GB2312" w:cs="仿宋_GB2312"/>
          <w:szCs w:val="32"/>
        </w:rPr>
        <w:t>高效液相色谱-三重四极杆质谱联用仪，配有电喷雾离子源(ESI)。</w:t>
      </w:r>
    </w:p>
    <w:p w14:paraId="616BC676">
      <w:pPr>
        <w:ind w:firstLine="640"/>
        <w:rPr>
          <w:rFonts w:hint="eastAsia" w:ascii="仿宋_GB2312" w:hAnsi="仿宋_GB2312" w:cs="仿宋_GB2312"/>
          <w:szCs w:val="32"/>
        </w:rPr>
      </w:pPr>
      <w:r>
        <w:rPr>
          <w:rFonts w:hint="eastAsia" w:ascii="仿宋_GB2312" w:hAnsi="仿宋_GB2312" w:cs="仿宋_GB2312"/>
          <w:szCs w:val="32"/>
          <w:lang w:val="en-US" w:eastAsia="zh-CN"/>
        </w:rPr>
        <w:t>2、</w:t>
      </w:r>
      <w:r>
        <w:rPr>
          <w:rFonts w:hint="eastAsia" w:ascii="仿宋_GB2312" w:hAnsi="仿宋_GB2312" w:cs="仿宋_GB2312"/>
          <w:szCs w:val="32"/>
        </w:rPr>
        <w:t>分析天平：感量分别为0.1 mg 和1 mg。</w:t>
      </w:r>
    </w:p>
    <w:p w14:paraId="7CB9C8AA">
      <w:pPr>
        <w:ind w:firstLine="640"/>
        <w:rPr>
          <w:rFonts w:hint="eastAsia" w:ascii="仿宋_GB2312" w:hAnsi="仿宋_GB2312" w:cs="仿宋_GB2312"/>
          <w:szCs w:val="32"/>
        </w:rPr>
      </w:pPr>
      <w:r>
        <w:rPr>
          <w:rFonts w:hint="eastAsia" w:ascii="仿宋_GB2312" w:hAnsi="仿宋_GB2312" w:cs="仿宋_GB2312"/>
          <w:szCs w:val="32"/>
          <w:lang w:val="en-US" w:eastAsia="zh-CN"/>
        </w:rPr>
        <w:t>3、</w:t>
      </w:r>
      <w:r>
        <w:rPr>
          <w:rFonts w:hint="eastAsia" w:ascii="仿宋_GB2312" w:hAnsi="仿宋_GB2312" w:cs="仿宋_GB2312"/>
          <w:szCs w:val="32"/>
        </w:rPr>
        <w:t>组织研磨仪。</w:t>
      </w:r>
    </w:p>
    <w:p w14:paraId="0E243959">
      <w:pPr>
        <w:ind w:firstLine="640"/>
        <w:rPr>
          <w:rFonts w:hint="eastAsia" w:ascii="仿宋_GB2312" w:hAnsi="仿宋_GB2312" w:cs="仿宋_GB2312"/>
          <w:szCs w:val="32"/>
        </w:rPr>
      </w:pPr>
      <w:r>
        <w:rPr>
          <w:rFonts w:hint="eastAsia" w:ascii="仿宋_GB2312" w:hAnsi="仿宋_GB2312" w:cs="仿宋_GB2312"/>
          <w:szCs w:val="32"/>
          <w:lang w:val="en-US" w:eastAsia="zh-CN"/>
        </w:rPr>
        <w:t>4、</w:t>
      </w:r>
      <w:r>
        <w:rPr>
          <w:rFonts w:hint="eastAsia" w:ascii="仿宋_GB2312" w:hAnsi="仿宋_GB2312" w:cs="仿宋_GB2312"/>
          <w:szCs w:val="32"/>
        </w:rPr>
        <w:t>匀浆机。</w:t>
      </w:r>
    </w:p>
    <w:p w14:paraId="7790FE98">
      <w:pPr>
        <w:ind w:firstLine="640"/>
        <w:rPr>
          <w:rFonts w:hint="eastAsia" w:ascii="仿宋_GB2312" w:hAnsi="仿宋_GB2312" w:cs="仿宋_GB2312"/>
          <w:szCs w:val="32"/>
        </w:rPr>
      </w:pPr>
      <w:r>
        <w:rPr>
          <w:rFonts w:hint="eastAsia" w:ascii="仿宋_GB2312" w:hAnsi="仿宋_GB2312" w:cs="仿宋_GB2312"/>
          <w:szCs w:val="32"/>
          <w:lang w:val="en-US" w:eastAsia="zh-CN"/>
        </w:rPr>
        <w:t>5、</w:t>
      </w:r>
      <w:r>
        <w:rPr>
          <w:rFonts w:hint="eastAsia" w:ascii="仿宋_GB2312" w:hAnsi="仿宋_GB2312" w:cs="仿宋_GB2312"/>
          <w:szCs w:val="32"/>
        </w:rPr>
        <w:t>离心机：转速≥4000 r/min.。</w:t>
      </w:r>
    </w:p>
    <w:p w14:paraId="408DA85B">
      <w:pPr>
        <w:ind w:firstLine="640"/>
        <w:rPr>
          <w:rFonts w:hint="eastAsia" w:ascii="仿宋_GB2312" w:hAnsi="仿宋_GB2312" w:cs="仿宋_GB2312"/>
          <w:szCs w:val="32"/>
        </w:rPr>
      </w:pPr>
      <w:r>
        <w:rPr>
          <w:rFonts w:hint="eastAsia" w:ascii="仿宋_GB2312" w:hAnsi="仿宋_GB2312" w:cs="仿宋_GB2312"/>
          <w:szCs w:val="32"/>
          <w:lang w:val="en-US" w:eastAsia="zh-CN"/>
        </w:rPr>
        <w:t>6、</w:t>
      </w:r>
      <w:r>
        <w:rPr>
          <w:rFonts w:hint="eastAsia" w:ascii="仿宋_GB2312" w:hAnsi="仿宋_GB2312" w:cs="仿宋_GB2312"/>
          <w:szCs w:val="32"/>
        </w:rPr>
        <w:t>超声波发生器。</w:t>
      </w:r>
    </w:p>
    <w:p w14:paraId="72BEC9A3">
      <w:pPr>
        <w:ind w:firstLine="640"/>
        <w:rPr>
          <w:rFonts w:hint="eastAsia" w:ascii="仿宋_GB2312" w:hAnsi="仿宋_GB2312" w:cs="仿宋_GB2312"/>
          <w:szCs w:val="32"/>
        </w:rPr>
      </w:pPr>
      <w:r>
        <w:rPr>
          <w:rFonts w:hint="eastAsia" w:ascii="仿宋_GB2312" w:hAnsi="仿宋_GB2312" w:cs="仿宋_GB2312"/>
          <w:szCs w:val="32"/>
          <w:lang w:val="en-US" w:eastAsia="zh-CN"/>
        </w:rPr>
        <w:t>7、</w:t>
      </w:r>
      <w:r>
        <w:rPr>
          <w:rFonts w:hint="eastAsia" w:ascii="仿宋_GB2312" w:hAnsi="仿宋_GB2312" w:cs="仿宋_GB2312"/>
          <w:szCs w:val="32"/>
        </w:rPr>
        <w:t>涡旋混合器。</w:t>
      </w:r>
    </w:p>
    <w:p w14:paraId="43917848">
      <w:pPr>
        <w:numPr>
          <w:ilvl w:val="0"/>
          <w:numId w:val="0"/>
        </w:numPr>
        <w:ind w:firstLine="643"/>
        <w:rPr>
          <w:rFonts w:hint="eastAsia" w:ascii="仿宋_GB2312" w:hAnsi="仿宋_GB2312" w:cs="仿宋_GB2312"/>
          <w:b/>
          <w:bCs/>
          <w:szCs w:val="32"/>
        </w:rPr>
      </w:pPr>
      <w:r>
        <w:rPr>
          <w:rFonts w:hint="eastAsia" w:ascii="仿宋_GB2312" w:hAnsi="仿宋_GB2312" w:eastAsia="仿宋_GB2312" w:cs="仿宋_GB2312"/>
          <w:b/>
          <w:bCs/>
          <w:kern w:val="2"/>
          <w:sz w:val="32"/>
          <w:szCs w:val="32"/>
          <w:lang w:val="en-US" w:eastAsia="zh-CN" w:bidi="ar-SA"/>
        </w:rPr>
        <w:t>(四）</w:t>
      </w:r>
      <w:r>
        <w:rPr>
          <w:rFonts w:hint="eastAsia" w:ascii="仿宋_GB2312" w:hAnsi="仿宋_GB2312" w:cs="仿宋_GB2312"/>
          <w:b/>
          <w:bCs/>
          <w:szCs w:val="32"/>
        </w:rPr>
        <w:t>分析步骤</w:t>
      </w:r>
    </w:p>
    <w:p w14:paraId="2CEF3F55">
      <w:pPr>
        <w:numPr>
          <w:ilvl w:val="0"/>
          <w:numId w:val="0"/>
        </w:numPr>
        <w:ind w:firstLine="643"/>
        <w:rPr>
          <w:rFonts w:hint="eastAsia" w:ascii="仿宋_GB2312" w:hAnsi="仿宋_GB2312" w:cs="仿宋_GB2312"/>
          <w:b/>
          <w:bCs/>
          <w:kern w:val="2"/>
          <w:sz w:val="32"/>
          <w:szCs w:val="32"/>
          <w:lang w:val="en-US" w:eastAsia="zh-CN" w:bidi="ar-SA"/>
        </w:rPr>
      </w:pPr>
      <w:r>
        <w:rPr>
          <w:rFonts w:hint="eastAsia" w:ascii="仿宋_GB2312" w:hAnsi="仿宋_GB2312" w:cs="仿宋_GB2312"/>
          <w:b/>
          <w:bCs/>
          <w:kern w:val="2"/>
          <w:sz w:val="32"/>
          <w:szCs w:val="32"/>
          <w:lang w:val="en-US" w:eastAsia="zh-CN" w:bidi="ar-SA"/>
        </w:rPr>
        <w:t>4.1试样制备与保存</w:t>
      </w:r>
    </w:p>
    <w:p w14:paraId="577DCB03">
      <w:pPr>
        <w:numPr>
          <w:ilvl w:val="0"/>
          <w:numId w:val="0"/>
        </w:numPr>
        <w:ind w:firstLine="643"/>
        <w:rPr>
          <w:rFonts w:hint="default" w:ascii="仿宋_GB2312" w:hAnsi="仿宋_GB2312" w:cs="仿宋_GB2312"/>
          <w:b w:val="0"/>
          <w:bCs w:val="0"/>
          <w:kern w:val="2"/>
          <w:sz w:val="32"/>
          <w:szCs w:val="32"/>
          <w:lang w:val="en-US" w:eastAsia="zh-CN" w:bidi="ar-SA"/>
        </w:rPr>
      </w:pPr>
      <w:r>
        <w:rPr>
          <w:rFonts w:hint="eastAsia" w:ascii="仿宋_GB2312" w:hAnsi="仿宋_GB2312" w:cs="仿宋_GB2312"/>
          <w:b w:val="0"/>
          <w:bCs w:val="0"/>
          <w:kern w:val="2"/>
          <w:sz w:val="32"/>
          <w:szCs w:val="32"/>
          <w:lang w:val="en-US" w:eastAsia="zh-CN" w:bidi="ar-SA"/>
        </w:rPr>
        <w:t>榴莲果肉和果皮</w:t>
      </w:r>
      <w:r>
        <w:rPr>
          <w:rFonts w:hint="default" w:ascii="仿宋_GB2312" w:hAnsi="仿宋_GB2312" w:cs="仿宋_GB2312"/>
          <w:b w:val="0"/>
          <w:bCs w:val="0"/>
          <w:kern w:val="2"/>
          <w:sz w:val="32"/>
          <w:szCs w:val="32"/>
          <w:lang w:val="en-US" w:eastAsia="zh-CN" w:bidi="ar-SA"/>
        </w:rPr>
        <w:t>两者基质差异大，需分开处理以保证净化效率。榴莲果皮的白色软质内果层水分高、吸附染料的能力弱，而刺状外壳及紧邻的硬质皮是直接接触外部染色剂的主要部位。去除白色内层可以排除低风险部分的干扰，聚焦于最可能残留碱性嫩黄O的硬质外层，同时减少提取液中的杂质，提高检测灵敏度。</w:t>
      </w:r>
    </w:p>
    <w:p w14:paraId="500648CF">
      <w:pPr>
        <w:numPr>
          <w:ilvl w:val="0"/>
          <w:numId w:val="0"/>
        </w:numPr>
        <w:ind w:firstLine="643"/>
        <w:rPr>
          <w:rFonts w:hint="eastAsia" w:ascii="仿宋_GB2312" w:hAnsi="仿宋_GB2312" w:cs="仿宋_GB2312"/>
          <w:b w:val="0"/>
          <w:bCs w:val="0"/>
          <w:kern w:val="2"/>
          <w:sz w:val="32"/>
          <w:szCs w:val="32"/>
          <w:lang w:val="en-US" w:eastAsia="zh-CN" w:bidi="ar-SA"/>
        </w:rPr>
      </w:pPr>
      <w:r>
        <w:rPr>
          <w:rFonts w:hint="default" w:ascii="仿宋_GB2312" w:hAnsi="仿宋_GB2312" w:cs="仿宋_GB2312"/>
          <w:b w:val="0"/>
          <w:bCs w:val="0"/>
          <w:kern w:val="2"/>
          <w:sz w:val="32"/>
          <w:szCs w:val="32"/>
          <w:lang w:val="en-US" w:eastAsia="zh-CN" w:bidi="ar-SA"/>
        </w:rPr>
        <w:t>组织研磨机或均浆机将样品彻底粉碎，保证取样代表性。置于 -18 ℃冷冻可以抑制微生物生长和酶活性，防止碱性嫩黄O在室温下发生降解或与基质成分反应，确保样品在检测前保持稳定</w:t>
      </w:r>
      <w:r>
        <w:rPr>
          <w:rFonts w:hint="eastAsia" w:ascii="仿宋_GB2312" w:hAnsi="仿宋_GB2312" w:cs="仿宋_GB2312"/>
          <w:b w:val="0"/>
          <w:bCs w:val="0"/>
          <w:kern w:val="2"/>
          <w:sz w:val="32"/>
          <w:szCs w:val="32"/>
          <w:lang w:val="en-US" w:eastAsia="zh-CN" w:bidi="ar-SA"/>
        </w:rPr>
        <w:t>。由于碱性嫩黄O染色力极强，因此制样时要求勤换手套、热水清洗工具，必要时进行空白测试，避免果皮与果肉、不同样品之间的相互污染，保证结果的真实性。</w:t>
      </w:r>
    </w:p>
    <w:p w14:paraId="28695FCF">
      <w:pPr>
        <w:numPr>
          <w:ilvl w:val="0"/>
          <w:numId w:val="0"/>
        </w:numPr>
        <w:ind w:firstLine="643"/>
        <w:rPr>
          <w:rFonts w:hint="default" w:ascii="仿宋_GB2312" w:hAnsi="仿宋_GB2312" w:cs="仿宋_GB2312"/>
          <w:b/>
          <w:bCs/>
          <w:kern w:val="2"/>
          <w:sz w:val="32"/>
          <w:szCs w:val="32"/>
          <w:lang w:val="en-US" w:eastAsia="zh-CN" w:bidi="ar-SA"/>
        </w:rPr>
      </w:pPr>
      <w:r>
        <w:rPr>
          <w:rFonts w:hint="eastAsia" w:ascii="仿宋_GB2312" w:hAnsi="仿宋_GB2312" w:cs="仿宋_GB2312"/>
          <w:b/>
          <w:bCs/>
          <w:kern w:val="2"/>
          <w:sz w:val="32"/>
          <w:szCs w:val="32"/>
          <w:lang w:val="en-US" w:eastAsia="zh-CN" w:bidi="ar-SA"/>
        </w:rPr>
        <w:t>4.2样品前处理</w:t>
      </w:r>
    </w:p>
    <w:p w14:paraId="34F2E898">
      <w:pPr>
        <w:numPr>
          <w:ilvl w:val="0"/>
          <w:numId w:val="0"/>
        </w:numPr>
        <w:ind w:firstLine="643"/>
        <w:rPr>
          <w:rFonts w:hint="eastAsia" w:ascii="仿宋_GB2312" w:hAnsi="仿宋_GB2312" w:cs="仿宋_GB2312"/>
          <w:b w:val="0"/>
          <w:bCs w:val="0"/>
          <w:kern w:val="2"/>
          <w:sz w:val="32"/>
          <w:szCs w:val="32"/>
          <w:lang w:val="en-US" w:eastAsia="zh-CN" w:bidi="ar-SA"/>
        </w:rPr>
      </w:pPr>
      <w:r>
        <w:rPr>
          <w:rFonts w:hint="eastAsia" w:ascii="仿宋_GB2312" w:hAnsi="仿宋_GB2312" w:cs="仿宋_GB2312"/>
          <w:b w:val="0"/>
          <w:bCs w:val="0"/>
          <w:kern w:val="2"/>
          <w:sz w:val="32"/>
          <w:szCs w:val="32"/>
          <w:lang w:val="en-US" w:eastAsia="zh-CN" w:bidi="ar-SA"/>
        </w:rPr>
        <w:t>甲酸提供酸性环境可使碱性嫩黄O更完全地以离子形式存在，从而提高其在乙腈中的溶解度和提取效率，同时乙腈能有效沉淀蛋白质并减少色素等共提取物，且与后续液相色谱-串联质谱的正离子模式兼容性更好。果皮与果肉均称取2 g，加入无水硫酸镁吸水放热促进提取，通过涡旋5 min和超声10 min加速目标物溶出，再以4000 r/min离心5 min实现固液分离，取上清液过PTFE膜去除颗粒，必要时用含0.1%甲酸的乙腈稀释，确保样品适合灵敏、稳定的质谱检测。</w:t>
      </w:r>
    </w:p>
    <w:p w14:paraId="43DE9B36">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按照分析步骤称取</w:t>
      </w:r>
      <w:r>
        <w:rPr>
          <w:rFonts w:hint="default" w:ascii="仿宋_GB2312" w:hAnsi="仿宋_GB2312" w:eastAsia="仿宋_GB2312" w:cs="仿宋_GB2312"/>
          <w:b w:val="0"/>
          <w:bCs w:val="0"/>
          <w:kern w:val="2"/>
          <w:sz w:val="32"/>
          <w:szCs w:val="32"/>
          <w:lang w:val="en-US" w:eastAsia="zh-CN" w:bidi="ar-SA"/>
        </w:rPr>
        <w:t>空白样品的榴莲皮和榴莲肉</w:t>
      </w:r>
      <w:r>
        <w:rPr>
          <w:rFonts w:hint="eastAsia" w:ascii="仿宋_GB2312" w:hAnsi="仿宋_GB2312" w:eastAsia="仿宋_GB2312" w:cs="仿宋_GB2312"/>
          <w:b w:val="0"/>
          <w:bCs w:val="0"/>
          <w:kern w:val="2"/>
          <w:sz w:val="32"/>
          <w:szCs w:val="32"/>
          <w:lang w:val="en-US" w:eastAsia="zh-CN" w:bidi="ar-SA"/>
        </w:rPr>
        <w:t>后，在样品</w:t>
      </w:r>
      <w:r>
        <w:rPr>
          <w:rFonts w:hint="default" w:ascii="仿宋_GB2312" w:hAnsi="仿宋_GB2312" w:eastAsia="仿宋_GB2312" w:cs="仿宋_GB2312"/>
          <w:b w:val="0"/>
          <w:bCs w:val="0"/>
          <w:kern w:val="2"/>
          <w:sz w:val="32"/>
          <w:szCs w:val="32"/>
          <w:lang w:val="en-US" w:eastAsia="zh-CN" w:bidi="ar-SA"/>
        </w:rPr>
        <w:t>中加入100ng碱性嫩黄O，</w:t>
      </w:r>
      <w:r>
        <w:rPr>
          <w:rFonts w:hint="eastAsia" w:ascii="仿宋_GB2312" w:hAnsi="仿宋_GB2312" w:eastAsia="仿宋_GB2312" w:cs="仿宋_GB2312"/>
          <w:b w:val="0"/>
          <w:bCs w:val="0"/>
          <w:kern w:val="2"/>
          <w:sz w:val="32"/>
          <w:szCs w:val="32"/>
          <w:lang w:val="en-US" w:eastAsia="zh-CN" w:bidi="ar-SA"/>
        </w:rPr>
        <w:t>然后按照步骤对</w:t>
      </w:r>
      <w:r>
        <w:rPr>
          <w:rFonts w:hint="default" w:ascii="仿宋_GB2312" w:hAnsi="仿宋_GB2312" w:eastAsia="仿宋_GB2312" w:cs="仿宋_GB2312"/>
          <w:b w:val="0"/>
          <w:bCs w:val="0"/>
          <w:kern w:val="2"/>
          <w:sz w:val="32"/>
          <w:szCs w:val="32"/>
          <w:lang w:val="en-US" w:eastAsia="zh-CN" w:bidi="ar-SA"/>
        </w:rPr>
        <w:t>样品进行</w:t>
      </w:r>
      <w:r>
        <w:rPr>
          <w:rFonts w:hint="eastAsia" w:ascii="仿宋_GB2312" w:hAnsi="仿宋_GB2312" w:eastAsia="仿宋_GB2312" w:cs="仿宋_GB2312"/>
          <w:b w:val="0"/>
          <w:bCs w:val="0"/>
          <w:kern w:val="2"/>
          <w:sz w:val="32"/>
          <w:szCs w:val="32"/>
          <w:lang w:val="en-US" w:eastAsia="zh-CN" w:bidi="ar-SA"/>
        </w:rPr>
        <w:t>前处理</w:t>
      </w:r>
      <w:r>
        <w:rPr>
          <w:rFonts w:hint="default" w:ascii="仿宋_GB2312" w:hAnsi="仿宋_GB2312" w:eastAsia="仿宋_GB2312" w:cs="仿宋_GB2312"/>
          <w:b w:val="0"/>
          <w:bCs w:val="0"/>
          <w:kern w:val="2"/>
          <w:sz w:val="32"/>
          <w:szCs w:val="32"/>
          <w:lang w:val="en-US" w:eastAsia="zh-CN" w:bidi="ar-SA"/>
        </w:rPr>
        <w:t>，提取</w:t>
      </w:r>
      <w:r>
        <w:rPr>
          <w:rFonts w:hint="eastAsia" w:ascii="仿宋_GB2312" w:hAnsi="仿宋_GB2312" w:eastAsia="仿宋_GB2312" w:cs="仿宋_GB2312"/>
          <w:b w:val="0"/>
          <w:bCs w:val="0"/>
          <w:kern w:val="2"/>
          <w:sz w:val="32"/>
          <w:szCs w:val="32"/>
          <w:lang w:val="en-US" w:eastAsia="zh-CN" w:bidi="ar-SA"/>
        </w:rPr>
        <w:t>过程中</w:t>
      </w:r>
      <w:r>
        <w:rPr>
          <w:rFonts w:hint="default" w:ascii="仿宋_GB2312" w:hAnsi="仿宋_GB2312" w:eastAsia="仿宋_GB2312" w:cs="仿宋_GB2312"/>
          <w:b w:val="0"/>
          <w:bCs w:val="0"/>
          <w:kern w:val="2"/>
          <w:sz w:val="32"/>
          <w:szCs w:val="32"/>
          <w:lang w:val="en-US" w:eastAsia="zh-CN" w:bidi="ar-SA"/>
        </w:rPr>
        <w:t>超声时间不同，检测结果如下。</w:t>
      </w:r>
    </w:p>
    <w:p w14:paraId="1C1351D2">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jc w:val="center"/>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表2 不同超声时间结果比对</w:t>
      </w:r>
    </w:p>
    <w:tbl>
      <w:tblPr>
        <w:tblStyle w:val="8"/>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32" w:type="dxa"/>
          <w:left w:w="64" w:type="dxa"/>
          <w:bottom w:w="32" w:type="dxa"/>
          <w:right w:w="64" w:type="dxa"/>
        </w:tblCellMar>
      </w:tblPr>
      <w:tblGrid>
        <w:gridCol w:w="1236"/>
        <w:gridCol w:w="1853"/>
        <w:gridCol w:w="1426"/>
        <w:gridCol w:w="1426"/>
        <w:gridCol w:w="1426"/>
        <w:gridCol w:w="1426"/>
        <w:gridCol w:w="1089"/>
      </w:tblGrid>
      <w:tr w14:paraId="2C530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1236" w:type="dxa"/>
            <w:tcBorders>
              <w:tl2br w:val="nil"/>
            </w:tcBorders>
            <w:shd w:val="clear" w:color="auto" w:fill="auto"/>
            <w:vAlign w:val="center"/>
          </w:tcPr>
          <w:p w14:paraId="0C2C1324">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样品名称</w:t>
            </w:r>
          </w:p>
        </w:tc>
        <w:tc>
          <w:tcPr>
            <w:tcW w:w="1853" w:type="dxa"/>
            <w:shd w:val="clear" w:color="auto" w:fill="auto"/>
            <w:vAlign w:val="center"/>
          </w:tcPr>
          <w:p w14:paraId="15BFD854">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不同超声时间</w:t>
            </w:r>
          </w:p>
        </w:tc>
        <w:tc>
          <w:tcPr>
            <w:tcW w:w="1426" w:type="dxa"/>
            <w:shd w:val="clear" w:color="auto" w:fill="auto"/>
            <w:vAlign w:val="center"/>
          </w:tcPr>
          <w:p w14:paraId="396AC334">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检测结果1</w:t>
            </w:r>
          </w:p>
          <w:p w14:paraId="716B91E9">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（ng）</w:t>
            </w:r>
          </w:p>
        </w:tc>
        <w:tc>
          <w:tcPr>
            <w:tcW w:w="1426" w:type="dxa"/>
            <w:shd w:val="clear" w:color="auto" w:fill="auto"/>
            <w:vAlign w:val="center"/>
          </w:tcPr>
          <w:p w14:paraId="6A8EFB17">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检测结果2</w:t>
            </w:r>
          </w:p>
          <w:p w14:paraId="2FE98D4F">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（ng）</w:t>
            </w:r>
          </w:p>
        </w:tc>
        <w:tc>
          <w:tcPr>
            <w:tcW w:w="1426" w:type="dxa"/>
            <w:shd w:val="clear" w:color="auto" w:fill="auto"/>
            <w:vAlign w:val="center"/>
          </w:tcPr>
          <w:p w14:paraId="03C8EB9F">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检测结果3</w:t>
            </w:r>
          </w:p>
          <w:p w14:paraId="0DEF9DB9">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（ng）</w:t>
            </w:r>
          </w:p>
        </w:tc>
        <w:tc>
          <w:tcPr>
            <w:tcW w:w="1426" w:type="dxa"/>
            <w:shd w:val="clear" w:color="auto" w:fill="auto"/>
            <w:vAlign w:val="center"/>
          </w:tcPr>
          <w:p w14:paraId="2E510C59">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检测结果平均值（ng）</w:t>
            </w:r>
          </w:p>
        </w:tc>
        <w:tc>
          <w:tcPr>
            <w:tcW w:w="1089" w:type="dxa"/>
            <w:shd w:val="clear" w:color="auto" w:fill="auto"/>
            <w:vAlign w:val="center"/>
          </w:tcPr>
          <w:p w14:paraId="3CDBF254">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回收率%</w:t>
            </w:r>
          </w:p>
        </w:tc>
      </w:tr>
      <w:tr w14:paraId="51CC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1236" w:type="dxa"/>
            <w:vMerge w:val="restart"/>
            <w:shd w:val="clear" w:color="auto" w:fill="auto"/>
            <w:vAlign w:val="center"/>
          </w:tcPr>
          <w:p w14:paraId="40637618">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榴莲皮</w:t>
            </w:r>
          </w:p>
        </w:tc>
        <w:tc>
          <w:tcPr>
            <w:tcW w:w="1853" w:type="dxa"/>
            <w:shd w:val="clear" w:color="auto" w:fill="auto"/>
            <w:vAlign w:val="center"/>
          </w:tcPr>
          <w:p w14:paraId="3F640EC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不超声</w:t>
            </w:r>
          </w:p>
        </w:tc>
        <w:tc>
          <w:tcPr>
            <w:tcW w:w="1426" w:type="dxa"/>
            <w:shd w:val="clear" w:color="auto" w:fill="auto"/>
            <w:vAlign w:val="center"/>
          </w:tcPr>
          <w:p w14:paraId="70B0809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81.4 </w:t>
            </w:r>
          </w:p>
        </w:tc>
        <w:tc>
          <w:tcPr>
            <w:tcW w:w="1426" w:type="dxa"/>
            <w:shd w:val="clear" w:color="auto" w:fill="auto"/>
            <w:vAlign w:val="center"/>
          </w:tcPr>
          <w:p w14:paraId="2ADFAE88">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79.8 </w:t>
            </w:r>
          </w:p>
        </w:tc>
        <w:tc>
          <w:tcPr>
            <w:tcW w:w="1426" w:type="dxa"/>
            <w:shd w:val="clear" w:color="auto" w:fill="auto"/>
            <w:vAlign w:val="center"/>
          </w:tcPr>
          <w:p w14:paraId="32E90E5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78.1 </w:t>
            </w:r>
          </w:p>
        </w:tc>
        <w:tc>
          <w:tcPr>
            <w:tcW w:w="1426" w:type="dxa"/>
            <w:shd w:val="clear" w:color="auto" w:fill="auto"/>
            <w:vAlign w:val="center"/>
          </w:tcPr>
          <w:p w14:paraId="25B32FA4">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79.8 </w:t>
            </w:r>
          </w:p>
        </w:tc>
        <w:tc>
          <w:tcPr>
            <w:tcW w:w="1089" w:type="dxa"/>
            <w:shd w:val="clear" w:color="auto" w:fill="auto"/>
            <w:vAlign w:val="center"/>
          </w:tcPr>
          <w:p w14:paraId="78AE424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79.8%</w:t>
            </w:r>
          </w:p>
        </w:tc>
      </w:tr>
      <w:tr w14:paraId="24271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36" w:type="dxa"/>
            <w:vMerge w:val="continue"/>
            <w:shd w:val="clear" w:color="auto" w:fill="auto"/>
            <w:vAlign w:val="center"/>
          </w:tcPr>
          <w:p w14:paraId="54B6E0FD">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p>
        </w:tc>
        <w:tc>
          <w:tcPr>
            <w:tcW w:w="1853" w:type="dxa"/>
            <w:shd w:val="clear" w:color="auto" w:fill="auto"/>
            <w:vAlign w:val="center"/>
          </w:tcPr>
          <w:p w14:paraId="5C31AAC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超声10min</w:t>
            </w:r>
          </w:p>
        </w:tc>
        <w:tc>
          <w:tcPr>
            <w:tcW w:w="1426" w:type="dxa"/>
            <w:shd w:val="clear" w:color="auto" w:fill="auto"/>
            <w:vAlign w:val="center"/>
          </w:tcPr>
          <w:p w14:paraId="7D1C197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80.1 </w:t>
            </w:r>
          </w:p>
        </w:tc>
        <w:tc>
          <w:tcPr>
            <w:tcW w:w="1426" w:type="dxa"/>
            <w:shd w:val="clear" w:color="auto" w:fill="auto"/>
            <w:vAlign w:val="center"/>
          </w:tcPr>
          <w:p w14:paraId="6DD32B3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80.3 </w:t>
            </w:r>
          </w:p>
        </w:tc>
        <w:tc>
          <w:tcPr>
            <w:tcW w:w="1426" w:type="dxa"/>
            <w:shd w:val="clear" w:color="auto" w:fill="auto"/>
            <w:vAlign w:val="center"/>
          </w:tcPr>
          <w:p w14:paraId="53ED689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79.9 </w:t>
            </w:r>
          </w:p>
        </w:tc>
        <w:tc>
          <w:tcPr>
            <w:tcW w:w="1426" w:type="dxa"/>
            <w:shd w:val="clear" w:color="auto" w:fill="auto"/>
            <w:vAlign w:val="center"/>
          </w:tcPr>
          <w:p w14:paraId="2962572A">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80.1 </w:t>
            </w:r>
          </w:p>
        </w:tc>
        <w:tc>
          <w:tcPr>
            <w:tcW w:w="1089" w:type="dxa"/>
            <w:shd w:val="clear" w:color="auto" w:fill="auto"/>
            <w:vAlign w:val="center"/>
          </w:tcPr>
          <w:p w14:paraId="353B324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80.1%</w:t>
            </w:r>
          </w:p>
        </w:tc>
      </w:tr>
      <w:tr w14:paraId="1229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36" w:type="dxa"/>
            <w:vMerge w:val="continue"/>
            <w:shd w:val="clear" w:color="auto" w:fill="auto"/>
            <w:vAlign w:val="center"/>
          </w:tcPr>
          <w:p w14:paraId="5428B948">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p>
        </w:tc>
        <w:tc>
          <w:tcPr>
            <w:tcW w:w="1853" w:type="dxa"/>
            <w:shd w:val="clear" w:color="auto" w:fill="auto"/>
            <w:vAlign w:val="center"/>
          </w:tcPr>
          <w:p w14:paraId="457B9C3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超声20min</w:t>
            </w:r>
          </w:p>
        </w:tc>
        <w:tc>
          <w:tcPr>
            <w:tcW w:w="1426" w:type="dxa"/>
            <w:shd w:val="clear" w:color="auto" w:fill="auto"/>
            <w:vAlign w:val="center"/>
          </w:tcPr>
          <w:p w14:paraId="34EB2B1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79.2 </w:t>
            </w:r>
          </w:p>
        </w:tc>
        <w:tc>
          <w:tcPr>
            <w:tcW w:w="1426" w:type="dxa"/>
            <w:shd w:val="clear" w:color="auto" w:fill="auto"/>
            <w:vAlign w:val="center"/>
          </w:tcPr>
          <w:p w14:paraId="1BFA8D4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80.1 </w:t>
            </w:r>
          </w:p>
        </w:tc>
        <w:tc>
          <w:tcPr>
            <w:tcW w:w="1426" w:type="dxa"/>
            <w:shd w:val="clear" w:color="auto" w:fill="auto"/>
            <w:vAlign w:val="center"/>
          </w:tcPr>
          <w:p w14:paraId="48A0208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80.9 </w:t>
            </w:r>
          </w:p>
        </w:tc>
        <w:tc>
          <w:tcPr>
            <w:tcW w:w="1426" w:type="dxa"/>
            <w:shd w:val="clear" w:color="auto" w:fill="auto"/>
            <w:vAlign w:val="center"/>
          </w:tcPr>
          <w:p w14:paraId="3F745D5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 xml:space="preserve">80.1 </w:t>
            </w:r>
          </w:p>
        </w:tc>
        <w:tc>
          <w:tcPr>
            <w:tcW w:w="1089" w:type="dxa"/>
            <w:shd w:val="clear" w:color="auto" w:fill="auto"/>
            <w:vAlign w:val="center"/>
          </w:tcPr>
          <w:p w14:paraId="18277AD8">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80.1%</w:t>
            </w:r>
          </w:p>
        </w:tc>
      </w:tr>
      <w:tr w14:paraId="08BB4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1236" w:type="dxa"/>
            <w:vMerge w:val="restart"/>
            <w:shd w:val="clear" w:color="auto" w:fill="auto"/>
            <w:vAlign w:val="center"/>
          </w:tcPr>
          <w:p w14:paraId="7A3A3857">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bCs w:val="0"/>
                <w:color w:val="000000"/>
                <w:sz w:val="24"/>
                <w:szCs w:val="24"/>
                <w:vertAlign w:val="baseline"/>
                <w:lang w:val="en-US" w:eastAsia="zh-CN"/>
              </w:rPr>
              <w:t>榴莲肉</w:t>
            </w:r>
          </w:p>
        </w:tc>
        <w:tc>
          <w:tcPr>
            <w:tcW w:w="1853" w:type="dxa"/>
            <w:shd w:val="clear" w:color="auto" w:fill="auto"/>
            <w:vAlign w:val="center"/>
          </w:tcPr>
          <w:p w14:paraId="7F3102D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color w:val="000000"/>
                <w:kern w:val="2"/>
                <w:sz w:val="24"/>
                <w:szCs w:val="24"/>
                <w:vertAlign w:val="baseline"/>
                <w:lang w:val="en-US" w:eastAsia="zh-CN" w:bidi="ar-SA"/>
              </w:rPr>
            </w:pPr>
            <w:r>
              <w:rPr>
                <w:rFonts w:hint="eastAsia" w:ascii="仿宋_GB2312" w:hAnsi="仿宋_GB2312" w:eastAsia="仿宋_GB2312" w:cs="仿宋_GB2312"/>
                <w:b w:val="0"/>
                <w:i w:val="0"/>
                <w:iCs w:val="0"/>
                <w:color w:val="000000"/>
                <w:kern w:val="0"/>
                <w:sz w:val="24"/>
                <w:szCs w:val="24"/>
                <w:u w:val="none"/>
                <w:lang w:val="en-US" w:eastAsia="zh-CN" w:bidi="ar"/>
              </w:rPr>
              <w:t>不超声</w:t>
            </w:r>
          </w:p>
        </w:tc>
        <w:tc>
          <w:tcPr>
            <w:tcW w:w="1426" w:type="dxa"/>
            <w:shd w:val="clear" w:color="auto" w:fill="auto"/>
            <w:vAlign w:val="center"/>
          </w:tcPr>
          <w:p w14:paraId="5343E7C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91.5</w:t>
            </w:r>
          </w:p>
        </w:tc>
        <w:tc>
          <w:tcPr>
            <w:tcW w:w="1426" w:type="dxa"/>
            <w:shd w:val="clear" w:color="auto" w:fill="auto"/>
            <w:vAlign w:val="center"/>
          </w:tcPr>
          <w:p w14:paraId="291FD41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95.4</w:t>
            </w:r>
          </w:p>
        </w:tc>
        <w:tc>
          <w:tcPr>
            <w:tcW w:w="1426" w:type="dxa"/>
            <w:shd w:val="clear" w:color="auto" w:fill="auto"/>
            <w:vAlign w:val="center"/>
          </w:tcPr>
          <w:p w14:paraId="7F4E571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91.4</w:t>
            </w:r>
          </w:p>
        </w:tc>
        <w:tc>
          <w:tcPr>
            <w:tcW w:w="1426" w:type="dxa"/>
            <w:shd w:val="clear" w:color="auto" w:fill="auto"/>
            <w:vAlign w:val="center"/>
          </w:tcPr>
          <w:p w14:paraId="5A67422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92.8</w:t>
            </w:r>
          </w:p>
        </w:tc>
        <w:tc>
          <w:tcPr>
            <w:tcW w:w="1089" w:type="dxa"/>
            <w:shd w:val="clear" w:color="auto" w:fill="auto"/>
            <w:vAlign w:val="center"/>
          </w:tcPr>
          <w:p w14:paraId="0C7F22A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92.8%</w:t>
            </w:r>
          </w:p>
        </w:tc>
      </w:tr>
      <w:tr w14:paraId="7327A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236" w:type="dxa"/>
            <w:vMerge w:val="continue"/>
            <w:shd w:val="clear" w:color="auto" w:fill="auto"/>
            <w:vAlign w:val="center"/>
          </w:tcPr>
          <w:p w14:paraId="5C574DB2">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p>
        </w:tc>
        <w:tc>
          <w:tcPr>
            <w:tcW w:w="1853" w:type="dxa"/>
            <w:shd w:val="clear" w:color="auto" w:fill="auto"/>
            <w:vAlign w:val="center"/>
          </w:tcPr>
          <w:p w14:paraId="270A8ED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kern w:val="2"/>
                <w:sz w:val="24"/>
                <w:szCs w:val="24"/>
                <w:vertAlign w:val="baseline"/>
                <w:lang w:val="en-US" w:eastAsia="zh-CN" w:bidi="ar-SA"/>
              </w:rPr>
            </w:pPr>
            <w:r>
              <w:rPr>
                <w:rFonts w:hint="eastAsia" w:ascii="仿宋_GB2312" w:hAnsi="仿宋_GB2312" w:eastAsia="仿宋_GB2312" w:cs="仿宋_GB2312"/>
                <w:b w:val="0"/>
                <w:i w:val="0"/>
                <w:iCs w:val="0"/>
                <w:color w:val="000000"/>
                <w:kern w:val="0"/>
                <w:sz w:val="24"/>
                <w:szCs w:val="24"/>
                <w:u w:val="none"/>
                <w:lang w:val="en-US" w:eastAsia="zh-CN" w:bidi="ar"/>
              </w:rPr>
              <w:t>超声10min</w:t>
            </w:r>
          </w:p>
        </w:tc>
        <w:tc>
          <w:tcPr>
            <w:tcW w:w="1426" w:type="dxa"/>
            <w:shd w:val="clear" w:color="auto" w:fill="auto"/>
            <w:vAlign w:val="center"/>
          </w:tcPr>
          <w:p w14:paraId="7A15736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92.2</w:t>
            </w:r>
          </w:p>
        </w:tc>
        <w:tc>
          <w:tcPr>
            <w:tcW w:w="1426" w:type="dxa"/>
            <w:shd w:val="clear" w:color="auto" w:fill="auto"/>
            <w:vAlign w:val="center"/>
          </w:tcPr>
          <w:p w14:paraId="32A407C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95.3</w:t>
            </w:r>
          </w:p>
        </w:tc>
        <w:tc>
          <w:tcPr>
            <w:tcW w:w="1426" w:type="dxa"/>
            <w:shd w:val="clear" w:color="auto" w:fill="auto"/>
            <w:vAlign w:val="center"/>
          </w:tcPr>
          <w:p w14:paraId="3E5F91F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91.0</w:t>
            </w:r>
          </w:p>
        </w:tc>
        <w:tc>
          <w:tcPr>
            <w:tcW w:w="1426" w:type="dxa"/>
            <w:shd w:val="clear" w:color="auto" w:fill="auto"/>
            <w:vAlign w:val="center"/>
          </w:tcPr>
          <w:p w14:paraId="6545C71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92.8</w:t>
            </w:r>
          </w:p>
        </w:tc>
        <w:tc>
          <w:tcPr>
            <w:tcW w:w="1089" w:type="dxa"/>
            <w:shd w:val="clear" w:color="auto" w:fill="auto"/>
            <w:vAlign w:val="center"/>
          </w:tcPr>
          <w:p w14:paraId="5F3ED06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92.8%</w:t>
            </w:r>
          </w:p>
        </w:tc>
      </w:tr>
      <w:tr w14:paraId="24CF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32" w:type="dxa"/>
            <w:left w:w="64" w:type="dxa"/>
            <w:bottom w:w="32" w:type="dxa"/>
            <w:right w:w="64" w:type="dxa"/>
          </w:tblCellMar>
        </w:tblPrEx>
        <w:trPr>
          <w:trHeight w:val="0" w:hRule="atLeast"/>
          <w:jc w:val="center"/>
        </w:trPr>
        <w:tc>
          <w:tcPr>
            <w:tcW w:w="1236" w:type="dxa"/>
            <w:vMerge w:val="continue"/>
            <w:shd w:val="clear" w:color="auto" w:fill="auto"/>
            <w:vAlign w:val="center"/>
          </w:tcPr>
          <w:p w14:paraId="5E5378C0">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color w:val="000000"/>
                <w:sz w:val="24"/>
                <w:szCs w:val="24"/>
                <w:vertAlign w:val="baseline"/>
                <w:lang w:val="en-US" w:eastAsia="zh-CN"/>
              </w:rPr>
            </w:pPr>
          </w:p>
        </w:tc>
        <w:tc>
          <w:tcPr>
            <w:tcW w:w="1853" w:type="dxa"/>
            <w:shd w:val="clear" w:color="auto" w:fill="auto"/>
            <w:vAlign w:val="center"/>
          </w:tcPr>
          <w:p w14:paraId="2B57FA7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kern w:val="2"/>
                <w:sz w:val="24"/>
                <w:szCs w:val="24"/>
                <w:vertAlign w:val="baseline"/>
                <w:lang w:val="en-US" w:eastAsia="zh-CN" w:bidi="ar-SA"/>
              </w:rPr>
            </w:pPr>
            <w:r>
              <w:rPr>
                <w:rFonts w:hint="eastAsia" w:ascii="仿宋_GB2312" w:hAnsi="仿宋_GB2312" w:eastAsia="仿宋_GB2312" w:cs="仿宋_GB2312"/>
                <w:b w:val="0"/>
                <w:i w:val="0"/>
                <w:iCs w:val="0"/>
                <w:color w:val="000000"/>
                <w:kern w:val="0"/>
                <w:sz w:val="24"/>
                <w:szCs w:val="24"/>
                <w:u w:val="none"/>
                <w:lang w:val="en-US" w:eastAsia="zh-CN" w:bidi="ar"/>
              </w:rPr>
              <w:t>超声20min</w:t>
            </w:r>
          </w:p>
        </w:tc>
        <w:tc>
          <w:tcPr>
            <w:tcW w:w="1426" w:type="dxa"/>
            <w:shd w:val="clear" w:color="auto" w:fill="auto"/>
            <w:vAlign w:val="center"/>
          </w:tcPr>
          <w:p w14:paraId="7BDE76D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94.3</w:t>
            </w:r>
          </w:p>
        </w:tc>
        <w:tc>
          <w:tcPr>
            <w:tcW w:w="1426" w:type="dxa"/>
            <w:shd w:val="clear" w:color="auto" w:fill="auto"/>
            <w:vAlign w:val="center"/>
          </w:tcPr>
          <w:p w14:paraId="3C32656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92.7</w:t>
            </w:r>
          </w:p>
        </w:tc>
        <w:tc>
          <w:tcPr>
            <w:tcW w:w="1426" w:type="dxa"/>
            <w:shd w:val="clear" w:color="auto" w:fill="auto"/>
            <w:vAlign w:val="center"/>
          </w:tcPr>
          <w:p w14:paraId="249A770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92.2</w:t>
            </w:r>
          </w:p>
        </w:tc>
        <w:tc>
          <w:tcPr>
            <w:tcW w:w="1426" w:type="dxa"/>
            <w:shd w:val="clear" w:color="auto" w:fill="auto"/>
            <w:vAlign w:val="center"/>
          </w:tcPr>
          <w:p w14:paraId="1EB81CA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93.0</w:t>
            </w:r>
          </w:p>
        </w:tc>
        <w:tc>
          <w:tcPr>
            <w:tcW w:w="1089" w:type="dxa"/>
            <w:shd w:val="clear" w:color="auto" w:fill="auto"/>
            <w:vAlign w:val="center"/>
          </w:tcPr>
          <w:p w14:paraId="0209943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val="0"/>
                <w:bCs w:val="0"/>
                <w:color w:val="000000"/>
                <w:sz w:val="24"/>
                <w:szCs w:val="24"/>
                <w:vertAlign w:val="baseline"/>
                <w:lang w:val="en-US" w:eastAsia="zh-CN"/>
              </w:rPr>
            </w:pPr>
            <w:r>
              <w:rPr>
                <w:rFonts w:hint="eastAsia" w:ascii="仿宋_GB2312" w:hAnsi="仿宋_GB2312" w:eastAsia="仿宋_GB2312" w:cs="仿宋_GB2312"/>
                <w:b w:val="0"/>
                <w:i w:val="0"/>
                <w:iCs w:val="0"/>
                <w:color w:val="000000"/>
                <w:kern w:val="0"/>
                <w:sz w:val="24"/>
                <w:szCs w:val="24"/>
                <w:u w:val="none"/>
                <w:lang w:val="en-US" w:eastAsia="zh-CN" w:bidi="ar"/>
              </w:rPr>
              <w:t>93.0%</w:t>
            </w:r>
          </w:p>
        </w:tc>
      </w:tr>
    </w:tbl>
    <w:p w14:paraId="233E61AD">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试验表明，超声时间</w:t>
      </w:r>
      <w:r>
        <w:rPr>
          <w:rFonts w:hint="eastAsia" w:ascii="仿宋_GB2312" w:hAnsi="仿宋_GB2312" w:eastAsia="仿宋_GB2312" w:cs="仿宋_GB2312"/>
          <w:b w:val="0"/>
          <w:bCs w:val="0"/>
          <w:kern w:val="2"/>
          <w:sz w:val="32"/>
          <w:szCs w:val="32"/>
          <w:lang w:val="en-US" w:eastAsia="zh-CN" w:bidi="ar-SA"/>
        </w:rPr>
        <w:t>及超声方式</w:t>
      </w:r>
      <w:r>
        <w:rPr>
          <w:rFonts w:hint="default" w:ascii="仿宋_GB2312" w:hAnsi="仿宋_GB2312" w:eastAsia="仿宋_GB2312" w:cs="仿宋_GB2312"/>
          <w:b w:val="0"/>
          <w:bCs w:val="0"/>
          <w:kern w:val="2"/>
          <w:sz w:val="32"/>
          <w:szCs w:val="32"/>
          <w:lang w:val="en-US" w:eastAsia="zh-CN" w:bidi="ar-SA"/>
        </w:rPr>
        <w:t>对结果影响不是很大，考虑到实际检测过程的效率和回收率</w:t>
      </w:r>
      <w:r>
        <w:rPr>
          <w:rFonts w:hint="eastAsia" w:ascii="仿宋_GB2312" w:hAnsi="仿宋_GB2312" w:eastAsia="仿宋_GB2312" w:cs="仿宋_GB2312"/>
          <w:b w:val="0"/>
          <w:bCs w:val="0"/>
          <w:kern w:val="2"/>
          <w:sz w:val="32"/>
          <w:szCs w:val="32"/>
          <w:lang w:val="en-US" w:eastAsia="zh-CN" w:bidi="ar-SA"/>
        </w:rPr>
        <w:t>效果</w:t>
      </w:r>
      <w:r>
        <w:rPr>
          <w:rFonts w:hint="default" w:ascii="仿宋_GB2312" w:hAnsi="仿宋_GB2312" w:eastAsia="仿宋_GB2312" w:cs="仿宋_GB2312"/>
          <w:b w:val="0"/>
          <w:bCs w:val="0"/>
          <w:kern w:val="2"/>
          <w:sz w:val="32"/>
          <w:szCs w:val="32"/>
          <w:lang w:val="en-US" w:eastAsia="zh-CN" w:bidi="ar-SA"/>
        </w:rPr>
        <w:t>，选择超声</w:t>
      </w:r>
      <w:r>
        <w:rPr>
          <w:rFonts w:hint="eastAsia" w:ascii="仿宋_GB2312" w:hAnsi="仿宋_GB2312" w:eastAsia="仿宋_GB2312" w:cs="仿宋_GB2312"/>
          <w:b w:val="0"/>
          <w:bCs w:val="0"/>
          <w:kern w:val="2"/>
          <w:sz w:val="32"/>
          <w:szCs w:val="32"/>
          <w:lang w:val="en-US" w:eastAsia="zh-CN" w:bidi="ar-SA"/>
        </w:rPr>
        <w:t>1</w:t>
      </w:r>
      <w:r>
        <w:rPr>
          <w:rFonts w:hint="default" w:ascii="仿宋_GB2312" w:hAnsi="仿宋_GB2312" w:eastAsia="仿宋_GB2312" w:cs="仿宋_GB2312"/>
          <w:b w:val="0"/>
          <w:bCs w:val="0"/>
          <w:kern w:val="2"/>
          <w:sz w:val="32"/>
          <w:szCs w:val="32"/>
          <w:lang w:val="en-US" w:eastAsia="zh-CN" w:bidi="ar-SA"/>
        </w:rPr>
        <w:t>0min。</w:t>
      </w:r>
    </w:p>
    <w:p w14:paraId="4B4A1A1F">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按照分析步骤称取</w:t>
      </w:r>
      <w:r>
        <w:rPr>
          <w:rFonts w:hint="default" w:ascii="仿宋_GB2312" w:hAnsi="仿宋_GB2312" w:eastAsia="仿宋_GB2312" w:cs="仿宋_GB2312"/>
          <w:b w:val="0"/>
          <w:bCs w:val="0"/>
          <w:kern w:val="2"/>
          <w:sz w:val="32"/>
          <w:szCs w:val="32"/>
          <w:lang w:val="en-US" w:eastAsia="zh-CN" w:bidi="ar-SA"/>
        </w:rPr>
        <w:t>空白样品的榴莲皮和榴莲肉</w:t>
      </w:r>
      <w:r>
        <w:rPr>
          <w:rFonts w:hint="eastAsia" w:ascii="仿宋_GB2312" w:hAnsi="仿宋_GB2312" w:eastAsia="仿宋_GB2312" w:cs="仿宋_GB2312"/>
          <w:b w:val="0"/>
          <w:bCs w:val="0"/>
          <w:kern w:val="2"/>
          <w:sz w:val="32"/>
          <w:szCs w:val="32"/>
          <w:lang w:val="en-US" w:eastAsia="zh-CN" w:bidi="ar-SA"/>
        </w:rPr>
        <w:t>后，在样品</w:t>
      </w:r>
      <w:r>
        <w:rPr>
          <w:rFonts w:hint="default" w:ascii="仿宋_GB2312" w:hAnsi="仿宋_GB2312" w:eastAsia="仿宋_GB2312" w:cs="仿宋_GB2312"/>
          <w:b w:val="0"/>
          <w:bCs w:val="0"/>
          <w:kern w:val="2"/>
          <w:sz w:val="32"/>
          <w:szCs w:val="32"/>
          <w:lang w:val="en-US" w:eastAsia="zh-CN" w:bidi="ar-SA"/>
        </w:rPr>
        <w:t>中加入100ng碱性嫩黄O，</w:t>
      </w:r>
      <w:r>
        <w:rPr>
          <w:rFonts w:hint="eastAsia" w:ascii="仿宋_GB2312" w:hAnsi="仿宋_GB2312" w:eastAsia="仿宋_GB2312" w:cs="仿宋_GB2312"/>
          <w:b w:val="0"/>
          <w:bCs w:val="0"/>
          <w:kern w:val="2"/>
          <w:sz w:val="32"/>
          <w:szCs w:val="32"/>
          <w:lang w:val="en-US" w:eastAsia="zh-CN" w:bidi="ar-SA"/>
        </w:rPr>
        <w:t>然后按照步骤对</w:t>
      </w:r>
      <w:r>
        <w:rPr>
          <w:rFonts w:hint="default" w:ascii="仿宋_GB2312" w:hAnsi="仿宋_GB2312" w:eastAsia="仿宋_GB2312" w:cs="仿宋_GB2312"/>
          <w:b w:val="0"/>
          <w:bCs w:val="0"/>
          <w:kern w:val="2"/>
          <w:sz w:val="32"/>
          <w:szCs w:val="32"/>
          <w:lang w:val="en-US" w:eastAsia="zh-CN" w:bidi="ar-SA"/>
        </w:rPr>
        <w:t>样品进行</w:t>
      </w:r>
      <w:r>
        <w:rPr>
          <w:rFonts w:hint="eastAsia" w:ascii="仿宋_GB2312" w:hAnsi="仿宋_GB2312" w:eastAsia="仿宋_GB2312" w:cs="仿宋_GB2312"/>
          <w:b w:val="0"/>
          <w:bCs w:val="0"/>
          <w:kern w:val="2"/>
          <w:sz w:val="32"/>
          <w:szCs w:val="32"/>
          <w:lang w:val="en-US" w:eastAsia="zh-CN" w:bidi="ar-SA"/>
        </w:rPr>
        <w:t>前处理</w:t>
      </w:r>
      <w:r>
        <w:rPr>
          <w:rFonts w:hint="default" w:ascii="仿宋_GB2312" w:hAnsi="仿宋_GB2312" w:eastAsia="仿宋_GB2312" w:cs="仿宋_GB2312"/>
          <w:b w:val="0"/>
          <w:bCs w:val="0"/>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过滤过程中选择的滤膜</w:t>
      </w:r>
      <w:r>
        <w:rPr>
          <w:rFonts w:hint="default" w:ascii="仿宋_GB2312" w:hAnsi="仿宋_GB2312" w:eastAsia="仿宋_GB2312" w:cs="仿宋_GB2312"/>
          <w:b w:val="0"/>
          <w:bCs w:val="0"/>
          <w:kern w:val="2"/>
          <w:sz w:val="32"/>
          <w:szCs w:val="32"/>
          <w:lang w:val="en-US" w:eastAsia="zh-CN" w:bidi="ar-SA"/>
        </w:rPr>
        <w:t>不同，检测结果如下。</w:t>
      </w:r>
    </w:p>
    <w:p w14:paraId="58F3710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表3 不同滤膜结果比对</w:t>
      </w:r>
    </w:p>
    <w:tbl>
      <w:tblPr>
        <w:tblStyle w:val="8"/>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6" w:type="dxa"/>
          <w:left w:w="96" w:type="dxa"/>
          <w:bottom w:w="56" w:type="dxa"/>
          <w:right w:w="96" w:type="dxa"/>
        </w:tblCellMar>
      </w:tblPr>
      <w:tblGrid>
        <w:gridCol w:w="1197"/>
        <w:gridCol w:w="1716"/>
        <w:gridCol w:w="1259"/>
        <w:gridCol w:w="1259"/>
        <w:gridCol w:w="1259"/>
        <w:gridCol w:w="1666"/>
        <w:gridCol w:w="1153"/>
      </w:tblGrid>
      <w:tr w14:paraId="3B7D5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tblHeader/>
          <w:jc w:val="center"/>
        </w:trPr>
        <w:tc>
          <w:tcPr>
            <w:tcW w:w="1197" w:type="dxa"/>
            <w:tcBorders>
              <w:top w:val="single" w:color="auto" w:sz="4" w:space="0"/>
              <w:left w:val="single" w:color="auto" w:sz="4" w:space="0"/>
              <w:bottom w:val="single" w:color="auto" w:sz="4" w:space="0"/>
              <w:right w:val="single" w:color="auto" w:sz="4" w:space="0"/>
            </w:tcBorders>
            <w:vAlign w:val="center"/>
          </w:tcPr>
          <w:p w14:paraId="1F4317A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sz w:val="24"/>
                <w:szCs w:val="24"/>
                <w:vertAlign w:val="baseline"/>
                <w:lang w:val="en-US" w:eastAsia="zh-CN"/>
              </w:rPr>
            </w:pPr>
            <w:r>
              <w:rPr>
                <w:rFonts w:hint="eastAsia" w:ascii="仿宋_GB2312" w:hAnsi="仿宋_GB2312" w:eastAsia="仿宋_GB2312" w:cs="仿宋_GB2312"/>
                <w:b w:val="0"/>
                <w:bCs/>
                <w:sz w:val="24"/>
                <w:szCs w:val="24"/>
                <w:vertAlign w:val="baseline"/>
                <w:lang w:val="en-US" w:eastAsia="zh-CN"/>
              </w:rPr>
              <w:t>样品名称</w:t>
            </w:r>
          </w:p>
        </w:tc>
        <w:tc>
          <w:tcPr>
            <w:tcW w:w="1716" w:type="dxa"/>
            <w:tcBorders>
              <w:top w:val="single" w:color="auto" w:sz="4" w:space="0"/>
              <w:left w:val="single" w:color="auto" w:sz="4" w:space="0"/>
              <w:bottom w:val="single" w:color="auto" w:sz="4" w:space="0"/>
              <w:right w:val="single" w:color="auto" w:sz="4" w:space="0"/>
            </w:tcBorders>
            <w:vAlign w:val="center"/>
          </w:tcPr>
          <w:p w14:paraId="1D00E33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sz w:val="24"/>
                <w:szCs w:val="24"/>
                <w:vertAlign w:val="baseline"/>
                <w:lang w:val="en-US" w:eastAsia="zh-CN"/>
              </w:rPr>
            </w:pPr>
            <w:r>
              <w:rPr>
                <w:rFonts w:hint="eastAsia" w:ascii="仿宋_GB2312" w:hAnsi="仿宋_GB2312" w:eastAsia="仿宋_GB2312" w:cs="仿宋_GB2312"/>
                <w:b w:val="0"/>
                <w:bCs/>
                <w:sz w:val="24"/>
                <w:szCs w:val="24"/>
                <w:vertAlign w:val="baseline"/>
                <w:lang w:val="en-US" w:eastAsia="zh-CN"/>
              </w:rPr>
              <w:t>滤膜</w:t>
            </w:r>
          </w:p>
        </w:tc>
        <w:tc>
          <w:tcPr>
            <w:tcW w:w="1259" w:type="dxa"/>
            <w:tcBorders>
              <w:top w:val="single" w:color="auto" w:sz="4" w:space="0"/>
              <w:left w:val="single" w:color="auto" w:sz="4" w:space="0"/>
              <w:bottom w:val="single" w:color="auto" w:sz="4" w:space="0"/>
              <w:right w:val="single" w:color="auto" w:sz="4" w:space="0"/>
            </w:tcBorders>
            <w:vAlign w:val="center"/>
          </w:tcPr>
          <w:p w14:paraId="2996E9DC">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sz w:val="24"/>
                <w:szCs w:val="24"/>
                <w:vertAlign w:val="baseline"/>
                <w:lang w:val="en-US" w:eastAsia="zh-CN"/>
              </w:rPr>
            </w:pPr>
            <w:r>
              <w:rPr>
                <w:rFonts w:hint="eastAsia" w:ascii="仿宋_GB2312" w:hAnsi="仿宋_GB2312" w:eastAsia="仿宋_GB2312" w:cs="仿宋_GB2312"/>
                <w:b w:val="0"/>
                <w:bCs/>
                <w:sz w:val="24"/>
                <w:szCs w:val="24"/>
                <w:vertAlign w:val="baseline"/>
                <w:lang w:val="en-US" w:eastAsia="zh-CN"/>
              </w:rPr>
              <w:t>检测结果1（ng）</w:t>
            </w:r>
          </w:p>
        </w:tc>
        <w:tc>
          <w:tcPr>
            <w:tcW w:w="1259" w:type="dxa"/>
            <w:tcBorders>
              <w:top w:val="single" w:color="auto" w:sz="4" w:space="0"/>
              <w:left w:val="single" w:color="auto" w:sz="4" w:space="0"/>
              <w:bottom w:val="single" w:color="auto" w:sz="4" w:space="0"/>
              <w:right w:val="single" w:color="auto" w:sz="4" w:space="0"/>
            </w:tcBorders>
            <w:vAlign w:val="center"/>
          </w:tcPr>
          <w:p w14:paraId="0593359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sz w:val="24"/>
                <w:szCs w:val="24"/>
                <w:vertAlign w:val="baseline"/>
                <w:lang w:val="en-US" w:eastAsia="zh-CN"/>
              </w:rPr>
            </w:pPr>
            <w:r>
              <w:rPr>
                <w:rFonts w:hint="eastAsia" w:ascii="仿宋_GB2312" w:hAnsi="仿宋_GB2312" w:eastAsia="仿宋_GB2312" w:cs="仿宋_GB2312"/>
                <w:b w:val="0"/>
                <w:bCs/>
                <w:sz w:val="24"/>
                <w:szCs w:val="24"/>
                <w:vertAlign w:val="baseline"/>
                <w:lang w:val="en-US" w:eastAsia="zh-CN"/>
              </w:rPr>
              <w:t>检测结果2（ng）</w:t>
            </w:r>
          </w:p>
        </w:tc>
        <w:tc>
          <w:tcPr>
            <w:tcW w:w="1259" w:type="dxa"/>
            <w:tcBorders>
              <w:top w:val="single" w:color="auto" w:sz="4" w:space="0"/>
              <w:left w:val="single" w:color="auto" w:sz="4" w:space="0"/>
              <w:bottom w:val="single" w:color="auto" w:sz="4" w:space="0"/>
              <w:right w:val="single" w:color="auto" w:sz="4" w:space="0"/>
            </w:tcBorders>
            <w:vAlign w:val="center"/>
          </w:tcPr>
          <w:p w14:paraId="4B94A84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sz w:val="24"/>
                <w:szCs w:val="24"/>
                <w:vertAlign w:val="baseline"/>
                <w:lang w:val="en-US" w:eastAsia="zh-CN"/>
              </w:rPr>
            </w:pPr>
            <w:r>
              <w:rPr>
                <w:rFonts w:hint="eastAsia" w:ascii="仿宋_GB2312" w:hAnsi="仿宋_GB2312" w:eastAsia="仿宋_GB2312" w:cs="仿宋_GB2312"/>
                <w:b w:val="0"/>
                <w:bCs/>
                <w:sz w:val="24"/>
                <w:szCs w:val="24"/>
                <w:vertAlign w:val="baseline"/>
                <w:lang w:val="en-US" w:eastAsia="zh-CN"/>
              </w:rPr>
              <w:t>检测结果3（ng）</w:t>
            </w:r>
          </w:p>
        </w:tc>
        <w:tc>
          <w:tcPr>
            <w:tcW w:w="1666" w:type="dxa"/>
            <w:tcBorders>
              <w:top w:val="single" w:color="auto" w:sz="4" w:space="0"/>
              <w:left w:val="single" w:color="auto" w:sz="4" w:space="0"/>
              <w:bottom w:val="single" w:color="auto" w:sz="4" w:space="0"/>
              <w:right w:val="single" w:color="auto" w:sz="4" w:space="0"/>
            </w:tcBorders>
            <w:vAlign w:val="center"/>
          </w:tcPr>
          <w:p w14:paraId="5416C741">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sz w:val="24"/>
                <w:szCs w:val="24"/>
                <w:vertAlign w:val="baseline"/>
                <w:lang w:val="en-US" w:eastAsia="zh-CN"/>
              </w:rPr>
            </w:pPr>
            <w:r>
              <w:rPr>
                <w:rFonts w:hint="eastAsia" w:ascii="仿宋_GB2312" w:hAnsi="仿宋_GB2312" w:eastAsia="仿宋_GB2312" w:cs="仿宋_GB2312"/>
                <w:b w:val="0"/>
                <w:bCs/>
                <w:sz w:val="24"/>
                <w:szCs w:val="24"/>
                <w:vertAlign w:val="baseline"/>
                <w:lang w:val="en-US" w:eastAsia="zh-CN"/>
              </w:rPr>
              <w:t>检测结果平均值（ng）</w:t>
            </w:r>
          </w:p>
        </w:tc>
        <w:tc>
          <w:tcPr>
            <w:tcW w:w="1153" w:type="dxa"/>
            <w:tcBorders>
              <w:top w:val="single" w:color="auto" w:sz="4" w:space="0"/>
              <w:left w:val="single" w:color="auto" w:sz="4" w:space="0"/>
              <w:bottom w:val="single" w:color="auto" w:sz="4" w:space="0"/>
              <w:right w:val="single" w:color="auto" w:sz="4" w:space="0"/>
            </w:tcBorders>
            <w:vAlign w:val="center"/>
          </w:tcPr>
          <w:p w14:paraId="4C856CB6">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sz w:val="24"/>
                <w:szCs w:val="24"/>
                <w:vertAlign w:val="baseline"/>
                <w:lang w:val="en-US" w:eastAsia="zh-CN"/>
              </w:rPr>
            </w:pPr>
            <w:r>
              <w:rPr>
                <w:rFonts w:hint="eastAsia" w:ascii="仿宋_GB2312" w:hAnsi="仿宋_GB2312" w:eastAsia="仿宋_GB2312" w:cs="仿宋_GB2312"/>
                <w:b w:val="0"/>
                <w:bCs/>
                <w:sz w:val="24"/>
                <w:szCs w:val="24"/>
                <w:vertAlign w:val="baseline"/>
                <w:lang w:val="en-US" w:eastAsia="zh-CN"/>
              </w:rPr>
              <w:t>回收率%</w:t>
            </w:r>
          </w:p>
        </w:tc>
      </w:tr>
      <w:tr w14:paraId="189E4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97" w:type="dxa"/>
            <w:vMerge w:val="restart"/>
            <w:tcBorders>
              <w:top w:val="single" w:color="auto" w:sz="4" w:space="0"/>
              <w:left w:val="single" w:color="auto" w:sz="4" w:space="0"/>
              <w:bottom w:val="single" w:color="auto" w:sz="4" w:space="0"/>
              <w:right w:val="single" w:color="auto" w:sz="4" w:space="0"/>
            </w:tcBorders>
            <w:vAlign w:val="center"/>
          </w:tcPr>
          <w:p w14:paraId="6C9473B9">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榴莲皮</w:t>
            </w:r>
          </w:p>
        </w:tc>
        <w:tc>
          <w:tcPr>
            <w:tcW w:w="1716" w:type="dxa"/>
            <w:tcBorders>
              <w:top w:val="single" w:color="auto" w:sz="4" w:space="0"/>
              <w:left w:val="single" w:color="auto" w:sz="4" w:space="0"/>
              <w:bottom w:val="single" w:color="auto" w:sz="4" w:space="0"/>
              <w:right w:val="single" w:color="auto" w:sz="4" w:space="0"/>
            </w:tcBorders>
            <w:vAlign w:val="center"/>
          </w:tcPr>
          <w:p w14:paraId="27D077B3">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PTFE亲水滤膜（0.22μm）</w:t>
            </w:r>
          </w:p>
        </w:tc>
        <w:tc>
          <w:tcPr>
            <w:tcW w:w="1259" w:type="dxa"/>
            <w:tcBorders>
              <w:top w:val="single" w:color="auto" w:sz="4" w:space="0"/>
              <w:left w:val="single" w:color="auto" w:sz="4" w:space="0"/>
              <w:bottom w:val="single" w:color="auto" w:sz="4" w:space="0"/>
              <w:right w:val="single" w:color="auto" w:sz="4" w:space="0"/>
            </w:tcBorders>
            <w:vAlign w:val="center"/>
          </w:tcPr>
          <w:p w14:paraId="5DF0B8A0">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78.1 </w:t>
            </w:r>
          </w:p>
        </w:tc>
        <w:tc>
          <w:tcPr>
            <w:tcW w:w="1259" w:type="dxa"/>
            <w:tcBorders>
              <w:top w:val="single" w:color="auto" w:sz="4" w:space="0"/>
              <w:left w:val="single" w:color="auto" w:sz="4" w:space="0"/>
              <w:bottom w:val="single" w:color="auto" w:sz="4" w:space="0"/>
              <w:right w:val="single" w:color="auto" w:sz="4" w:space="0"/>
            </w:tcBorders>
            <w:vAlign w:val="center"/>
          </w:tcPr>
          <w:p w14:paraId="3050CF33">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77.9 </w:t>
            </w:r>
          </w:p>
        </w:tc>
        <w:tc>
          <w:tcPr>
            <w:tcW w:w="1259" w:type="dxa"/>
            <w:tcBorders>
              <w:top w:val="single" w:color="auto" w:sz="4" w:space="0"/>
              <w:left w:val="single" w:color="auto" w:sz="4" w:space="0"/>
              <w:bottom w:val="single" w:color="auto" w:sz="4" w:space="0"/>
              <w:right w:val="single" w:color="auto" w:sz="4" w:space="0"/>
            </w:tcBorders>
            <w:vAlign w:val="center"/>
          </w:tcPr>
          <w:p w14:paraId="54BDF742">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79.1 </w:t>
            </w:r>
          </w:p>
        </w:tc>
        <w:tc>
          <w:tcPr>
            <w:tcW w:w="1666" w:type="dxa"/>
            <w:tcBorders>
              <w:top w:val="single" w:color="auto" w:sz="4" w:space="0"/>
              <w:left w:val="single" w:color="auto" w:sz="4" w:space="0"/>
              <w:bottom w:val="single" w:color="auto" w:sz="4" w:space="0"/>
              <w:right w:val="single" w:color="auto" w:sz="4" w:space="0"/>
            </w:tcBorders>
            <w:vAlign w:val="center"/>
          </w:tcPr>
          <w:p w14:paraId="289BB8A5">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78.8 </w:t>
            </w:r>
          </w:p>
        </w:tc>
        <w:tc>
          <w:tcPr>
            <w:tcW w:w="1153" w:type="dxa"/>
            <w:tcBorders>
              <w:top w:val="single" w:color="auto" w:sz="4" w:space="0"/>
              <w:left w:val="single" w:color="auto" w:sz="4" w:space="0"/>
              <w:bottom w:val="single" w:color="auto" w:sz="4" w:space="0"/>
              <w:right w:val="single" w:color="auto" w:sz="4" w:space="0"/>
            </w:tcBorders>
            <w:vAlign w:val="center"/>
          </w:tcPr>
          <w:p w14:paraId="2F604456">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78.8%</w:t>
            </w:r>
          </w:p>
        </w:tc>
      </w:tr>
      <w:tr w14:paraId="0970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97" w:type="dxa"/>
            <w:vMerge w:val="continue"/>
            <w:tcBorders>
              <w:top w:val="single" w:color="auto" w:sz="4" w:space="0"/>
              <w:left w:val="single" w:color="auto" w:sz="4" w:space="0"/>
              <w:bottom w:val="single" w:color="auto" w:sz="4" w:space="0"/>
              <w:right w:val="single" w:color="auto" w:sz="4" w:space="0"/>
            </w:tcBorders>
            <w:vAlign w:val="center"/>
          </w:tcPr>
          <w:p w14:paraId="0412155B">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p>
        </w:tc>
        <w:tc>
          <w:tcPr>
            <w:tcW w:w="1716" w:type="dxa"/>
            <w:tcBorders>
              <w:top w:val="single" w:color="auto" w:sz="4" w:space="0"/>
              <w:left w:val="single" w:color="auto" w:sz="4" w:space="0"/>
              <w:bottom w:val="single" w:color="auto" w:sz="4" w:space="0"/>
              <w:right w:val="single" w:color="auto" w:sz="4" w:space="0"/>
            </w:tcBorders>
            <w:vAlign w:val="center"/>
          </w:tcPr>
          <w:p w14:paraId="710DF376">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PVDF水相滤膜（0.22μm）</w:t>
            </w:r>
          </w:p>
        </w:tc>
        <w:tc>
          <w:tcPr>
            <w:tcW w:w="1259" w:type="dxa"/>
            <w:tcBorders>
              <w:top w:val="single" w:color="auto" w:sz="4" w:space="0"/>
              <w:left w:val="single" w:color="auto" w:sz="4" w:space="0"/>
              <w:bottom w:val="single" w:color="auto" w:sz="4" w:space="0"/>
              <w:right w:val="single" w:color="auto" w:sz="4" w:space="0"/>
            </w:tcBorders>
            <w:vAlign w:val="center"/>
          </w:tcPr>
          <w:p w14:paraId="02060A2F">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74.8 </w:t>
            </w:r>
          </w:p>
        </w:tc>
        <w:tc>
          <w:tcPr>
            <w:tcW w:w="1259" w:type="dxa"/>
            <w:tcBorders>
              <w:top w:val="single" w:color="auto" w:sz="4" w:space="0"/>
              <w:left w:val="single" w:color="auto" w:sz="4" w:space="0"/>
              <w:bottom w:val="single" w:color="auto" w:sz="4" w:space="0"/>
              <w:right w:val="single" w:color="auto" w:sz="4" w:space="0"/>
            </w:tcBorders>
            <w:vAlign w:val="center"/>
          </w:tcPr>
          <w:p w14:paraId="5BD9BBD2">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77.9 </w:t>
            </w:r>
          </w:p>
        </w:tc>
        <w:tc>
          <w:tcPr>
            <w:tcW w:w="1259" w:type="dxa"/>
            <w:tcBorders>
              <w:top w:val="single" w:color="auto" w:sz="4" w:space="0"/>
              <w:left w:val="single" w:color="auto" w:sz="4" w:space="0"/>
              <w:bottom w:val="single" w:color="auto" w:sz="4" w:space="0"/>
              <w:right w:val="single" w:color="auto" w:sz="4" w:space="0"/>
            </w:tcBorders>
            <w:vAlign w:val="center"/>
          </w:tcPr>
          <w:p w14:paraId="699CAE97">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77.4 </w:t>
            </w:r>
          </w:p>
        </w:tc>
        <w:tc>
          <w:tcPr>
            <w:tcW w:w="1666" w:type="dxa"/>
            <w:tcBorders>
              <w:top w:val="single" w:color="auto" w:sz="4" w:space="0"/>
              <w:left w:val="single" w:color="auto" w:sz="4" w:space="0"/>
              <w:bottom w:val="single" w:color="auto" w:sz="4" w:space="0"/>
              <w:right w:val="single" w:color="auto" w:sz="4" w:space="0"/>
            </w:tcBorders>
            <w:vAlign w:val="center"/>
          </w:tcPr>
          <w:p w14:paraId="3FCCE908">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77.3 </w:t>
            </w:r>
          </w:p>
        </w:tc>
        <w:tc>
          <w:tcPr>
            <w:tcW w:w="1153" w:type="dxa"/>
            <w:tcBorders>
              <w:top w:val="single" w:color="auto" w:sz="4" w:space="0"/>
              <w:left w:val="single" w:color="auto" w:sz="4" w:space="0"/>
              <w:bottom w:val="single" w:color="auto" w:sz="4" w:space="0"/>
              <w:right w:val="single" w:color="auto" w:sz="4" w:space="0"/>
            </w:tcBorders>
            <w:vAlign w:val="center"/>
          </w:tcPr>
          <w:p w14:paraId="49BD5294">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77.3%</w:t>
            </w:r>
          </w:p>
        </w:tc>
      </w:tr>
      <w:tr w14:paraId="4E01F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97" w:type="dxa"/>
            <w:vMerge w:val="continue"/>
            <w:tcBorders>
              <w:top w:val="single" w:color="auto" w:sz="4" w:space="0"/>
              <w:left w:val="single" w:color="auto" w:sz="4" w:space="0"/>
              <w:bottom w:val="single" w:color="auto" w:sz="4" w:space="0"/>
              <w:right w:val="single" w:color="auto" w:sz="4" w:space="0"/>
            </w:tcBorders>
            <w:vAlign w:val="center"/>
          </w:tcPr>
          <w:p w14:paraId="3FB8A5C9">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p>
        </w:tc>
        <w:tc>
          <w:tcPr>
            <w:tcW w:w="1716" w:type="dxa"/>
            <w:tcBorders>
              <w:top w:val="single" w:color="auto" w:sz="4" w:space="0"/>
              <w:left w:val="single" w:color="auto" w:sz="4" w:space="0"/>
              <w:bottom w:val="single" w:color="auto" w:sz="4" w:space="0"/>
              <w:right w:val="single" w:color="auto" w:sz="4" w:space="0"/>
            </w:tcBorders>
            <w:vAlign w:val="center"/>
          </w:tcPr>
          <w:p w14:paraId="0B6DC50A">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尼龙滤膜（0.22μm）</w:t>
            </w:r>
          </w:p>
        </w:tc>
        <w:tc>
          <w:tcPr>
            <w:tcW w:w="1259" w:type="dxa"/>
            <w:tcBorders>
              <w:top w:val="single" w:color="auto" w:sz="4" w:space="0"/>
              <w:left w:val="single" w:color="auto" w:sz="4" w:space="0"/>
              <w:bottom w:val="single" w:color="auto" w:sz="4" w:space="0"/>
              <w:right w:val="single" w:color="auto" w:sz="4" w:space="0"/>
            </w:tcBorders>
            <w:vAlign w:val="center"/>
          </w:tcPr>
          <w:p w14:paraId="1F0471CC">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77.0 </w:t>
            </w:r>
          </w:p>
        </w:tc>
        <w:tc>
          <w:tcPr>
            <w:tcW w:w="1259" w:type="dxa"/>
            <w:tcBorders>
              <w:top w:val="single" w:color="auto" w:sz="4" w:space="0"/>
              <w:left w:val="single" w:color="auto" w:sz="4" w:space="0"/>
              <w:bottom w:val="single" w:color="auto" w:sz="4" w:space="0"/>
              <w:right w:val="single" w:color="auto" w:sz="4" w:space="0"/>
            </w:tcBorders>
            <w:vAlign w:val="center"/>
          </w:tcPr>
          <w:p w14:paraId="299CA24B">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80.4 </w:t>
            </w:r>
          </w:p>
        </w:tc>
        <w:tc>
          <w:tcPr>
            <w:tcW w:w="1259" w:type="dxa"/>
            <w:tcBorders>
              <w:top w:val="single" w:color="auto" w:sz="4" w:space="0"/>
              <w:left w:val="single" w:color="auto" w:sz="4" w:space="0"/>
              <w:bottom w:val="single" w:color="auto" w:sz="4" w:space="0"/>
              <w:right w:val="single" w:color="auto" w:sz="4" w:space="0"/>
            </w:tcBorders>
            <w:vAlign w:val="center"/>
          </w:tcPr>
          <w:p w14:paraId="10D54D0E">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80.1 </w:t>
            </w:r>
          </w:p>
        </w:tc>
        <w:tc>
          <w:tcPr>
            <w:tcW w:w="1666" w:type="dxa"/>
            <w:tcBorders>
              <w:top w:val="single" w:color="auto" w:sz="4" w:space="0"/>
              <w:left w:val="single" w:color="auto" w:sz="4" w:space="0"/>
              <w:bottom w:val="single" w:color="auto" w:sz="4" w:space="0"/>
              <w:right w:val="single" w:color="auto" w:sz="4" w:space="0"/>
            </w:tcBorders>
            <w:vAlign w:val="center"/>
          </w:tcPr>
          <w:p w14:paraId="760CC3F1">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79.6 </w:t>
            </w:r>
          </w:p>
        </w:tc>
        <w:tc>
          <w:tcPr>
            <w:tcW w:w="1153" w:type="dxa"/>
            <w:tcBorders>
              <w:top w:val="single" w:color="auto" w:sz="4" w:space="0"/>
              <w:left w:val="single" w:color="auto" w:sz="4" w:space="0"/>
              <w:bottom w:val="single" w:color="auto" w:sz="4" w:space="0"/>
              <w:right w:val="single" w:color="auto" w:sz="4" w:space="0"/>
            </w:tcBorders>
            <w:vAlign w:val="center"/>
          </w:tcPr>
          <w:p w14:paraId="2C944481">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79.6%</w:t>
            </w:r>
          </w:p>
        </w:tc>
      </w:tr>
      <w:tr w14:paraId="3813A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97" w:type="dxa"/>
            <w:vMerge w:val="restart"/>
            <w:tcBorders>
              <w:top w:val="single" w:color="auto" w:sz="4" w:space="0"/>
              <w:left w:val="single" w:color="auto" w:sz="4" w:space="0"/>
              <w:bottom w:val="single" w:color="auto" w:sz="4" w:space="0"/>
              <w:right w:val="single" w:color="auto" w:sz="4" w:space="0"/>
            </w:tcBorders>
            <w:vAlign w:val="center"/>
          </w:tcPr>
          <w:p w14:paraId="47B67C7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榴莲肉</w:t>
            </w:r>
          </w:p>
        </w:tc>
        <w:tc>
          <w:tcPr>
            <w:tcW w:w="1716" w:type="dxa"/>
            <w:tcBorders>
              <w:top w:val="single" w:color="auto" w:sz="4" w:space="0"/>
              <w:left w:val="single" w:color="auto" w:sz="4" w:space="0"/>
              <w:bottom w:val="single" w:color="auto" w:sz="4" w:space="0"/>
              <w:right w:val="single" w:color="auto" w:sz="4" w:space="0"/>
            </w:tcBorders>
            <w:vAlign w:val="center"/>
          </w:tcPr>
          <w:p w14:paraId="54D74481">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PTFE亲水滤膜（0.22μm）</w:t>
            </w:r>
          </w:p>
        </w:tc>
        <w:tc>
          <w:tcPr>
            <w:tcW w:w="1259" w:type="dxa"/>
            <w:tcBorders>
              <w:top w:val="single" w:color="auto" w:sz="4" w:space="0"/>
              <w:left w:val="single" w:color="auto" w:sz="4" w:space="0"/>
              <w:bottom w:val="single" w:color="auto" w:sz="4" w:space="0"/>
              <w:right w:val="single" w:color="auto" w:sz="4" w:space="0"/>
            </w:tcBorders>
            <w:vAlign w:val="center"/>
          </w:tcPr>
          <w:p w14:paraId="3FCEAA55">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88.2 </w:t>
            </w:r>
          </w:p>
        </w:tc>
        <w:tc>
          <w:tcPr>
            <w:tcW w:w="1259" w:type="dxa"/>
            <w:tcBorders>
              <w:top w:val="single" w:color="auto" w:sz="4" w:space="0"/>
              <w:left w:val="single" w:color="auto" w:sz="4" w:space="0"/>
              <w:bottom w:val="single" w:color="auto" w:sz="4" w:space="0"/>
              <w:right w:val="single" w:color="auto" w:sz="4" w:space="0"/>
            </w:tcBorders>
            <w:vAlign w:val="center"/>
          </w:tcPr>
          <w:p w14:paraId="50C5B91B">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89.0 </w:t>
            </w:r>
          </w:p>
        </w:tc>
        <w:tc>
          <w:tcPr>
            <w:tcW w:w="1259" w:type="dxa"/>
            <w:tcBorders>
              <w:top w:val="single" w:color="auto" w:sz="4" w:space="0"/>
              <w:left w:val="single" w:color="auto" w:sz="4" w:space="0"/>
              <w:bottom w:val="single" w:color="auto" w:sz="4" w:space="0"/>
              <w:right w:val="single" w:color="auto" w:sz="4" w:space="0"/>
            </w:tcBorders>
            <w:vAlign w:val="center"/>
          </w:tcPr>
          <w:p w14:paraId="4E6CAA1D">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90.6 </w:t>
            </w:r>
          </w:p>
        </w:tc>
        <w:tc>
          <w:tcPr>
            <w:tcW w:w="1666" w:type="dxa"/>
            <w:tcBorders>
              <w:top w:val="single" w:color="auto" w:sz="4" w:space="0"/>
              <w:left w:val="single" w:color="auto" w:sz="4" w:space="0"/>
              <w:bottom w:val="single" w:color="auto" w:sz="4" w:space="0"/>
              <w:right w:val="single" w:color="auto" w:sz="4" w:space="0"/>
            </w:tcBorders>
            <w:vAlign w:val="center"/>
          </w:tcPr>
          <w:p w14:paraId="384D0A37">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89.2 </w:t>
            </w:r>
          </w:p>
        </w:tc>
        <w:tc>
          <w:tcPr>
            <w:tcW w:w="1153" w:type="dxa"/>
            <w:tcBorders>
              <w:top w:val="single" w:color="auto" w:sz="4" w:space="0"/>
              <w:left w:val="single" w:color="auto" w:sz="4" w:space="0"/>
              <w:bottom w:val="single" w:color="auto" w:sz="4" w:space="0"/>
              <w:right w:val="single" w:color="auto" w:sz="4" w:space="0"/>
            </w:tcBorders>
            <w:vAlign w:val="center"/>
          </w:tcPr>
          <w:p w14:paraId="0B99AF89">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89.2%</w:t>
            </w:r>
          </w:p>
        </w:tc>
      </w:tr>
      <w:tr w14:paraId="3311A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97" w:type="dxa"/>
            <w:vMerge w:val="continue"/>
            <w:tcBorders>
              <w:top w:val="single" w:color="auto" w:sz="4" w:space="0"/>
              <w:left w:val="single" w:color="auto" w:sz="4" w:space="0"/>
              <w:bottom w:val="single" w:color="auto" w:sz="4" w:space="0"/>
              <w:right w:val="single" w:color="auto" w:sz="4" w:space="0"/>
            </w:tcBorders>
            <w:vAlign w:val="center"/>
          </w:tcPr>
          <w:p w14:paraId="625933D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p>
        </w:tc>
        <w:tc>
          <w:tcPr>
            <w:tcW w:w="1716" w:type="dxa"/>
            <w:tcBorders>
              <w:top w:val="single" w:color="auto" w:sz="4" w:space="0"/>
              <w:left w:val="single" w:color="auto" w:sz="4" w:space="0"/>
              <w:bottom w:val="single" w:color="auto" w:sz="4" w:space="0"/>
              <w:right w:val="single" w:color="auto" w:sz="4" w:space="0"/>
            </w:tcBorders>
            <w:vAlign w:val="center"/>
          </w:tcPr>
          <w:p w14:paraId="77BD6A18">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PVDF水相滤膜（0.22μm）</w:t>
            </w:r>
          </w:p>
        </w:tc>
        <w:tc>
          <w:tcPr>
            <w:tcW w:w="1259" w:type="dxa"/>
            <w:tcBorders>
              <w:top w:val="single" w:color="auto" w:sz="4" w:space="0"/>
              <w:left w:val="single" w:color="auto" w:sz="4" w:space="0"/>
              <w:bottom w:val="single" w:color="auto" w:sz="4" w:space="0"/>
              <w:right w:val="single" w:color="auto" w:sz="4" w:space="0"/>
            </w:tcBorders>
            <w:vAlign w:val="center"/>
          </w:tcPr>
          <w:p w14:paraId="1D8449D3">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88.5 </w:t>
            </w:r>
          </w:p>
        </w:tc>
        <w:tc>
          <w:tcPr>
            <w:tcW w:w="1259" w:type="dxa"/>
            <w:tcBorders>
              <w:top w:val="single" w:color="auto" w:sz="4" w:space="0"/>
              <w:left w:val="single" w:color="auto" w:sz="4" w:space="0"/>
              <w:bottom w:val="single" w:color="auto" w:sz="4" w:space="0"/>
              <w:right w:val="single" w:color="auto" w:sz="4" w:space="0"/>
            </w:tcBorders>
            <w:vAlign w:val="center"/>
          </w:tcPr>
          <w:p w14:paraId="4BDC849C">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86.2 </w:t>
            </w:r>
          </w:p>
        </w:tc>
        <w:tc>
          <w:tcPr>
            <w:tcW w:w="1259" w:type="dxa"/>
            <w:tcBorders>
              <w:top w:val="single" w:color="auto" w:sz="4" w:space="0"/>
              <w:left w:val="single" w:color="auto" w:sz="4" w:space="0"/>
              <w:bottom w:val="single" w:color="auto" w:sz="4" w:space="0"/>
              <w:right w:val="single" w:color="auto" w:sz="4" w:space="0"/>
            </w:tcBorders>
            <w:vAlign w:val="center"/>
          </w:tcPr>
          <w:p w14:paraId="305BFB46">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88.8 </w:t>
            </w:r>
          </w:p>
        </w:tc>
        <w:tc>
          <w:tcPr>
            <w:tcW w:w="1666" w:type="dxa"/>
            <w:tcBorders>
              <w:top w:val="single" w:color="auto" w:sz="4" w:space="0"/>
              <w:left w:val="single" w:color="auto" w:sz="4" w:space="0"/>
              <w:bottom w:val="single" w:color="auto" w:sz="4" w:space="0"/>
              <w:right w:val="single" w:color="auto" w:sz="4" w:space="0"/>
            </w:tcBorders>
            <w:vAlign w:val="center"/>
          </w:tcPr>
          <w:p w14:paraId="6651BA89">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86.8 </w:t>
            </w:r>
          </w:p>
        </w:tc>
        <w:tc>
          <w:tcPr>
            <w:tcW w:w="1153" w:type="dxa"/>
            <w:tcBorders>
              <w:top w:val="single" w:color="auto" w:sz="4" w:space="0"/>
              <w:left w:val="single" w:color="auto" w:sz="4" w:space="0"/>
              <w:bottom w:val="single" w:color="auto" w:sz="4" w:space="0"/>
              <w:right w:val="single" w:color="auto" w:sz="4" w:space="0"/>
            </w:tcBorders>
            <w:vAlign w:val="center"/>
          </w:tcPr>
          <w:p w14:paraId="1449B4F8">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86.8%</w:t>
            </w:r>
          </w:p>
        </w:tc>
      </w:tr>
      <w:tr w14:paraId="51463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1197" w:type="dxa"/>
            <w:vMerge w:val="continue"/>
            <w:tcBorders>
              <w:top w:val="single" w:color="auto" w:sz="4" w:space="0"/>
              <w:left w:val="single" w:color="auto" w:sz="4" w:space="0"/>
              <w:bottom w:val="single" w:color="auto" w:sz="4" w:space="0"/>
              <w:right w:val="single" w:color="auto" w:sz="4" w:space="0"/>
            </w:tcBorders>
            <w:vAlign w:val="center"/>
          </w:tcPr>
          <w:p w14:paraId="54471C52">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p>
        </w:tc>
        <w:tc>
          <w:tcPr>
            <w:tcW w:w="1716" w:type="dxa"/>
            <w:tcBorders>
              <w:top w:val="single" w:color="auto" w:sz="4" w:space="0"/>
              <w:left w:val="single" w:color="auto" w:sz="4" w:space="0"/>
              <w:bottom w:val="single" w:color="auto" w:sz="4" w:space="0"/>
              <w:right w:val="single" w:color="auto" w:sz="4" w:space="0"/>
            </w:tcBorders>
            <w:vAlign w:val="center"/>
          </w:tcPr>
          <w:p w14:paraId="3FDAA876">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尼龙滤膜（0.22μm）</w:t>
            </w:r>
          </w:p>
        </w:tc>
        <w:tc>
          <w:tcPr>
            <w:tcW w:w="1259" w:type="dxa"/>
            <w:tcBorders>
              <w:top w:val="single" w:color="auto" w:sz="4" w:space="0"/>
              <w:left w:val="single" w:color="auto" w:sz="4" w:space="0"/>
              <w:bottom w:val="single" w:color="auto" w:sz="4" w:space="0"/>
              <w:right w:val="single" w:color="auto" w:sz="4" w:space="0"/>
            </w:tcBorders>
            <w:vAlign w:val="center"/>
          </w:tcPr>
          <w:p w14:paraId="5581C567">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87.9 </w:t>
            </w:r>
          </w:p>
        </w:tc>
        <w:tc>
          <w:tcPr>
            <w:tcW w:w="1259" w:type="dxa"/>
            <w:tcBorders>
              <w:top w:val="single" w:color="auto" w:sz="4" w:space="0"/>
              <w:left w:val="single" w:color="auto" w:sz="4" w:space="0"/>
              <w:bottom w:val="single" w:color="auto" w:sz="4" w:space="0"/>
              <w:right w:val="single" w:color="auto" w:sz="4" w:space="0"/>
            </w:tcBorders>
            <w:vAlign w:val="center"/>
          </w:tcPr>
          <w:p w14:paraId="32360788">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90.1 </w:t>
            </w:r>
          </w:p>
        </w:tc>
        <w:tc>
          <w:tcPr>
            <w:tcW w:w="1259" w:type="dxa"/>
            <w:tcBorders>
              <w:top w:val="single" w:color="auto" w:sz="4" w:space="0"/>
              <w:left w:val="single" w:color="auto" w:sz="4" w:space="0"/>
              <w:bottom w:val="single" w:color="auto" w:sz="4" w:space="0"/>
              <w:right w:val="single" w:color="auto" w:sz="4" w:space="0"/>
            </w:tcBorders>
            <w:vAlign w:val="center"/>
          </w:tcPr>
          <w:p w14:paraId="4BB77B26">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89.0 </w:t>
            </w:r>
          </w:p>
        </w:tc>
        <w:tc>
          <w:tcPr>
            <w:tcW w:w="1666" w:type="dxa"/>
            <w:tcBorders>
              <w:top w:val="single" w:color="auto" w:sz="4" w:space="0"/>
              <w:left w:val="single" w:color="auto" w:sz="4" w:space="0"/>
              <w:bottom w:val="single" w:color="auto" w:sz="4" w:space="0"/>
              <w:right w:val="single" w:color="auto" w:sz="4" w:space="0"/>
            </w:tcBorders>
            <w:vAlign w:val="center"/>
          </w:tcPr>
          <w:p w14:paraId="67B074BE">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 xml:space="preserve">88.8 </w:t>
            </w:r>
          </w:p>
        </w:tc>
        <w:tc>
          <w:tcPr>
            <w:tcW w:w="1153" w:type="dxa"/>
            <w:tcBorders>
              <w:top w:val="single" w:color="auto" w:sz="4" w:space="0"/>
              <w:left w:val="single" w:color="auto" w:sz="4" w:space="0"/>
              <w:bottom w:val="single" w:color="auto" w:sz="4" w:space="0"/>
              <w:right w:val="single" w:color="auto" w:sz="4" w:space="0"/>
            </w:tcBorders>
            <w:vAlign w:val="center"/>
          </w:tcPr>
          <w:p w14:paraId="49D8A570">
            <w:pPr>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i w:val="0"/>
                <w:iCs w:val="0"/>
                <w:color w:val="000000"/>
                <w:kern w:val="0"/>
                <w:sz w:val="24"/>
                <w:szCs w:val="24"/>
                <w:u w:val="none"/>
                <w:lang w:val="en-US" w:eastAsia="zh-CN" w:bidi="ar"/>
              </w:rPr>
              <w:t>88.8%</w:t>
            </w:r>
          </w:p>
        </w:tc>
      </w:tr>
    </w:tbl>
    <w:p w14:paraId="34C1CAE8">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试验表明，不同滤膜对结果的影响不大，</w:t>
      </w:r>
      <w:r>
        <w:rPr>
          <w:rFonts w:hint="eastAsia" w:ascii="仿宋_GB2312" w:hAnsi="仿宋_GB2312" w:eastAsia="仿宋_GB2312" w:cs="仿宋_GB2312"/>
          <w:b w:val="0"/>
          <w:bCs w:val="0"/>
          <w:kern w:val="2"/>
          <w:sz w:val="32"/>
          <w:szCs w:val="32"/>
          <w:lang w:val="en-US" w:eastAsia="zh-CN" w:bidi="ar-SA"/>
        </w:rPr>
        <w:t>榴莲皮和榴莲肉的回收率综合考虑，</w:t>
      </w:r>
      <w:r>
        <w:rPr>
          <w:rFonts w:hint="default" w:ascii="仿宋_GB2312" w:hAnsi="仿宋_GB2312" w:eastAsia="仿宋_GB2312" w:cs="仿宋_GB2312"/>
          <w:b w:val="0"/>
          <w:bCs w:val="0"/>
          <w:kern w:val="2"/>
          <w:sz w:val="32"/>
          <w:szCs w:val="32"/>
          <w:lang w:val="en-US" w:eastAsia="zh-CN" w:bidi="ar-SA"/>
        </w:rPr>
        <w:t>本文选用PTFE</w:t>
      </w:r>
      <w:r>
        <w:rPr>
          <w:rFonts w:hint="eastAsia" w:ascii="仿宋_GB2312" w:hAnsi="仿宋_GB2312" w:eastAsia="仿宋_GB2312" w:cs="仿宋_GB2312"/>
          <w:b w:val="0"/>
          <w:bCs w:val="0"/>
          <w:kern w:val="2"/>
          <w:sz w:val="32"/>
          <w:szCs w:val="32"/>
          <w:lang w:val="en-US" w:eastAsia="zh-CN" w:bidi="ar-SA"/>
        </w:rPr>
        <w:t>亲水</w:t>
      </w:r>
      <w:r>
        <w:rPr>
          <w:rFonts w:hint="default" w:ascii="仿宋_GB2312" w:hAnsi="仿宋_GB2312" w:eastAsia="仿宋_GB2312" w:cs="仿宋_GB2312"/>
          <w:b w:val="0"/>
          <w:bCs w:val="0"/>
          <w:kern w:val="2"/>
          <w:sz w:val="32"/>
          <w:szCs w:val="32"/>
          <w:lang w:val="en-US" w:eastAsia="zh-CN" w:bidi="ar-SA"/>
        </w:rPr>
        <w:t>滤膜（0.22μm）。</w:t>
      </w:r>
    </w:p>
    <w:p w14:paraId="3CE1ECBD">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QuEChERS是目前被广泛使用的一种净化方法，通过调节C18、PSA、石墨化碳黑吸附剂（graphitized carbon black，GCB）、MgSO</w:t>
      </w:r>
      <w:r>
        <w:rPr>
          <w:rFonts w:hint="eastAsia" w:ascii="仿宋_GB2312" w:hAnsi="仿宋_GB2312" w:eastAsia="仿宋_GB2312" w:cs="仿宋_GB2312"/>
          <w:b w:val="0"/>
          <w:bCs w:val="0"/>
          <w:kern w:val="2"/>
          <w:sz w:val="32"/>
          <w:szCs w:val="32"/>
          <w:vertAlign w:val="subscript"/>
          <w:lang w:val="en-US" w:eastAsia="zh-CN" w:bidi="ar-SA"/>
        </w:rPr>
        <w:t>4</w:t>
      </w:r>
      <w:r>
        <w:rPr>
          <w:rFonts w:hint="eastAsia" w:ascii="仿宋_GB2312" w:hAnsi="仿宋_GB2312" w:eastAsia="仿宋_GB2312" w:cs="仿宋_GB2312"/>
          <w:b w:val="0"/>
          <w:bCs w:val="0"/>
          <w:kern w:val="2"/>
          <w:sz w:val="32"/>
          <w:szCs w:val="32"/>
          <w:lang w:val="en-US" w:eastAsia="zh-CN" w:bidi="ar-SA"/>
        </w:rPr>
        <w:t>的用量以去除样品基质中的杂质。由于QuEChERS中GCB会对季铵盐产生吸附，会导致碱性嫩黄被吸附；无水MgSO</w:t>
      </w:r>
      <w:r>
        <w:rPr>
          <w:rFonts w:hint="eastAsia" w:ascii="仿宋_GB2312" w:hAnsi="仿宋_GB2312" w:eastAsia="仿宋_GB2312" w:cs="仿宋_GB2312"/>
          <w:b w:val="0"/>
          <w:bCs w:val="0"/>
          <w:kern w:val="2"/>
          <w:sz w:val="32"/>
          <w:szCs w:val="32"/>
          <w:vertAlign w:val="subscript"/>
          <w:lang w:val="en-US" w:eastAsia="zh-CN" w:bidi="ar-SA"/>
        </w:rPr>
        <w:t>4</w:t>
      </w:r>
      <w:r>
        <w:rPr>
          <w:rFonts w:hint="eastAsia" w:ascii="仿宋_GB2312" w:hAnsi="仿宋_GB2312" w:eastAsia="仿宋_GB2312" w:cs="仿宋_GB2312"/>
          <w:b w:val="0"/>
          <w:bCs w:val="0"/>
          <w:kern w:val="2"/>
          <w:sz w:val="32"/>
          <w:szCs w:val="32"/>
          <w:lang w:val="en-US" w:eastAsia="zh-CN" w:bidi="ar-SA"/>
        </w:rPr>
        <w:t>作为脱水剂不会吸附目标化合物影响回收率，故尝试采用C18、PSA、MgSO</w:t>
      </w:r>
      <w:r>
        <w:rPr>
          <w:rFonts w:hint="eastAsia" w:ascii="仿宋_GB2312" w:hAnsi="仿宋_GB2312" w:eastAsia="仿宋_GB2312" w:cs="仿宋_GB2312"/>
          <w:b w:val="0"/>
          <w:bCs w:val="0"/>
          <w:kern w:val="2"/>
          <w:sz w:val="32"/>
          <w:szCs w:val="32"/>
          <w:vertAlign w:val="subscript"/>
          <w:lang w:val="en-US" w:eastAsia="zh-CN" w:bidi="ar-SA"/>
        </w:rPr>
        <w:t>4</w:t>
      </w:r>
      <w:r>
        <w:rPr>
          <w:rFonts w:hint="eastAsia" w:ascii="仿宋_GB2312" w:hAnsi="仿宋_GB2312" w:eastAsia="仿宋_GB2312" w:cs="仿宋_GB2312"/>
          <w:b w:val="0"/>
          <w:bCs w:val="0"/>
          <w:kern w:val="2"/>
          <w:sz w:val="32"/>
          <w:szCs w:val="32"/>
          <w:lang w:val="en-US" w:eastAsia="zh-CN" w:bidi="ar-SA"/>
        </w:rPr>
        <w:t>对试样进行净化，按照步骤称取</w:t>
      </w:r>
      <w:r>
        <w:rPr>
          <w:rFonts w:hint="default" w:ascii="仿宋_GB2312" w:hAnsi="仿宋_GB2312" w:eastAsia="仿宋_GB2312" w:cs="仿宋_GB2312"/>
          <w:b w:val="0"/>
          <w:bCs w:val="0"/>
          <w:kern w:val="2"/>
          <w:sz w:val="32"/>
          <w:szCs w:val="32"/>
          <w:lang w:val="en-US" w:eastAsia="zh-CN" w:bidi="ar-SA"/>
        </w:rPr>
        <w:t>空白样品的榴莲皮和榴莲肉</w:t>
      </w:r>
      <w:r>
        <w:rPr>
          <w:rFonts w:hint="eastAsia" w:ascii="仿宋_GB2312" w:hAnsi="仿宋_GB2312" w:eastAsia="仿宋_GB2312" w:cs="仿宋_GB2312"/>
          <w:b w:val="0"/>
          <w:bCs w:val="0"/>
          <w:kern w:val="2"/>
          <w:sz w:val="32"/>
          <w:szCs w:val="32"/>
          <w:lang w:val="en-US" w:eastAsia="zh-CN" w:bidi="ar-SA"/>
        </w:rPr>
        <w:t>后，在样品</w:t>
      </w:r>
      <w:r>
        <w:rPr>
          <w:rFonts w:hint="default" w:ascii="仿宋_GB2312" w:hAnsi="仿宋_GB2312" w:eastAsia="仿宋_GB2312" w:cs="仿宋_GB2312"/>
          <w:b w:val="0"/>
          <w:bCs w:val="0"/>
          <w:kern w:val="2"/>
          <w:sz w:val="32"/>
          <w:szCs w:val="32"/>
          <w:lang w:val="en-US" w:eastAsia="zh-CN" w:bidi="ar-SA"/>
        </w:rPr>
        <w:t>中加入100ng碱性嫩黄O，</w:t>
      </w:r>
      <w:r>
        <w:rPr>
          <w:rFonts w:hint="eastAsia" w:ascii="仿宋_GB2312" w:hAnsi="仿宋_GB2312" w:eastAsia="仿宋_GB2312" w:cs="仿宋_GB2312"/>
          <w:b w:val="0"/>
          <w:bCs w:val="0"/>
          <w:kern w:val="2"/>
          <w:sz w:val="32"/>
          <w:szCs w:val="32"/>
          <w:lang w:val="en-US" w:eastAsia="zh-CN" w:bidi="ar-SA"/>
        </w:rPr>
        <w:t>然后按照步骤对</w:t>
      </w:r>
      <w:r>
        <w:rPr>
          <w:rFonts w:hint="default" w:ascii="仿宋_GB2312" w:hAnsi="仿宋_GB2312" w:eastAsia="仿宋_GB2312" w:cs="仿宋_GB2312"/>
          <w:b w:val="0"/>
          <w:bCs w:val="0"/>
          <w:kern w:val="2"/>
          <w:sz w:val="32"/>
          <w:szCs w:val="32"/>
          <w:lang w:val="en-US" w:eastAsia="zh-CN" w:bidi="ar-SA"/>
        </w:rPr>
        <w:t>样品进行</w:t>
      </w:r>
      <w:r>
        <w:rPr>
          <w:rFonts w:hint="eastAsia" w:ascii="仿宋_GB2312" w:hAnsi="仿宋_GB2312" w:eastAsia="仿宋_GB2312" w:cs="仿宋_GB2312"/>
          <w:b w:val="0"/>
          <w:bCs w:val="0"/>
          <w:kern w:val="2"/>
          <w:sz w:val="32"/>
          <w:szCs w:val="32"/>
          <w:lang w:val="en-US" w:eastAsia="zh-CN" w:bidi="ar-SA"/>
        </w:rPr>
        <w:t>前处理</w:t>
      </w:r>
      <w:r>
        <w:rPr>
          <w:rFonts w:hint="default" w:ascii="仿宋_GB2312" w:hAnsi="仿宋_GB2312" w:eastAsia="仿宋_GB2312" w:cs="仿宋_GB2312"/>
          <w:b w:val="0"/>
          <w:bCs w:val="0"/>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净化过程中选择的净化剂</w:t>
      </w:r>
      <w:r>
        <w:rPr>
          <w:rFonts w:hint="default" w:ascii="仿宋_GB2312" w:hAnsi="仿宋_GB2312" w:eastAsia="仿宋_GB2312" w:cs="仿宋_GB2312"/>
          <w:b w:val="0"/>
          <w:bCs w:val="0"/>
          <w:kern w:val="2"/>
          <w:sz w:val="32"/>
          <w:szCs w:val="32"/>
          <w:lang w:val="en-US" w:eastAsia="zh-CN" w:bidi="ar-SA"/>
        </w:rPr>
        <w:t>不同，检测结果如下。</w:t>
      </w:r>
    </w:p>
    <w:p w14:paraId="58AF2686">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jc w:val="center"/>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表4 榴莲皮不同净化方式对比结果</w:t>
      </w:r>
    </w:p>
    <w:tbl>
      <w:tblPr>
        <w:tblStyle w:val="8"/>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2795"/>
        <w:gridCol w:w="1166"/>
        <w:gridCol w:w="1166"/>
        <w:gridCol w:w="1166"/>
        <w:gridCol w:w="1603"/>
        <w:gridCol w:w="1089"/>
      </w:tblGrid>
      <w:tr w14:paraId="54B3C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298AB159">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净化方式</w:t>
            </w:r>
          </w:p>
        </w:tc>
        <w:tc>
          <w:tcPr>
            <w:tcW w:w="1166" w:type="dxa"/>
            <w:vAlign w:val="center"/>
          </w:tcPr>
          <w:p w14:paraId="76A81CB4">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检测结果1（ng）</w:t>
            </w:r>
          </w:p>
        </w:tc>
        <w:tc>
          <w:tcPr>
            <w:tcW w:w="1166" w:type="dxa"/>
            <w:vAlign w:val="center"/>
          </w:tcPr>
          <w:p w14:paraId="363680F7">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检测结果2（ng）</w:t>
            </w:r>
          </w:p>
        </w:tc>
        <w:tc>
          <w:tcPr>
            <w:tcW w:w="1166" w:type="dxa"/>
            <w:vAlign w:val="center"/>
          </w:tcPr>
          <w:p w14:paraId="58455349">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检测结果3（ng）</w:t>
            </w:r>
          </w:p>
        </w:tc>
        <w:tc>
          <w:tcPr>
            <w:tcW w:w="1603" w:type="dxa"/>
            <w:vAlign w:val="center"/>
          </w:tcPr>
          <w:p w14:paraId="0603D004">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检测结果平均值（ng）</w:t>
            </w:r>
          </w:p>
        </w:tc>
        <w:tc>
          <w:tcPr>
            <w:tcW w:w="1089" w:type="dxa"/>
            <w:vAlign w:val="center"/>
          </w:tcPr>
          <w:p w14:paraId="552DF64E">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回收率%</w:t>
            </w:r>
          </w:p>
        </w:tc>
      </w:tr>
      <w:tr w14:paraId="658B7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232CEF8B">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55ADEEC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76.4</w:t>
            </w:r>
          </w:p>
        </w:tc>
        <w:tc>
          <w:tcPr>
            <w:tcW w:w="1166" w:type="dxa"/>
            <w:vAlign w:val="center"/>
          </w:tcPr>
          <w:p w14:paraId="1561314F">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76.9</w:t>
            </w:r>
          </w:p>
        </w:tc>
        <w:tc>
          <w:tcPr>
            <w:tcW w:w="1166" w:type="dxa"/>
            <w:vAlign w:val="center"/>
          </w:tcPr>
          <w:p w14:paraId="63A124B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77.6</w:t>
            </w:r>
          </w:p>
        </w:tc>
        <w:tc>
          <w:tcPr>
            <w:tcW w:w="1603" w:type="dxa"/>
            <w:vAlign w:val="center"/>
          </w:tcPr>
          <w:p w14:paraId="7908EDF4">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77.0 </w:t>
            </w:r>
          </w:p>
        </w:tc>
        <w:tc>
          <w:tcPr>
            <w:tcW w:w="1089" w:type="dxa"/>
            <w:vAlign w:val="center"/>
          </w:tcPr>
          <w:p w14:paraId="1B1DB26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77.0% </w:t>
            </w:r>
          </w:p>
        </w:tc>
      </w:tr>
      <w:tr w14:paraId="1555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791CD0F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609B866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79.4</w:t>
            </w:r>
          </w:p>
        </w:tc>
        <w:tc>
          <w:tcPr>
            <w:tcW w:w="1166" w:type="dxa"/>
            <w:vAlign w:val="center"/>
          </w:tcPr>
          <w:p w14:paraId="6311BC0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78.6</w:t>
            </w:r>
          </w:p>
        </w:tc>
        <w:tc>
          <w:tcPr>
            <w:tcW w:w="1166" w:type="dxa"/>
            <w:vAlign w:val="center"/>
          </w:tcPr>
          <w:p w14:paraId="31CA66A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78.0</w:t>
            </w:r>
          </w:p>
        </w:tc>
        <w:tc>
          <w:tcPr>
            <w:tcW w:w="1603" w:type="dxa"/>
            <w:vAlign w:val="center"/>
          </w:tcPr>
          <w:p w14:paraId="0939922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78.7 </w:t>
            </w:r>
          </w:p>
        </w:tc>
        <w:tc>
          <w:tcPr>
            <w:tcW w:w="1089" w:type="dxa"/>
            <w:vAlign w:val="center"/>
          </w:tcPr>
          <w:p w14:paraId="488DEA3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78.7% </w:t>
            </w:r>
          </w:p>
        </w:tc>
      </w:tr>
      <w:tr w14:paraId="428D4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25FE769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35B2B94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76.6</w:t>
            </w:r>
          </w:p>
        </w:tc>
        <w:tc>
          <w:tcPr>
            <w:tcW w:w="1166" w:type="dxa"/>
            <w:vAlign w:val="center"/>
          </w:tcPr>
          <w:p w14:paraId="568CA98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76.9</w:t>
            </w:r>
          </w:p>
        </w:tc>
        <w:tc>
          <w:tcPr>
            <w:tcW w:w="1166" w:type="dxa"/>
            <w:vAlign w:val="center"/>
          </w:tcPr>
          <w:p w14:paraId="08EAB4E2">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75.8</w:t>
            </w:r>
          </w:p>
        </w:tc>
        <w:tc>
          <w:tcPr>
            <w:tcW w:w="1603" w:type="dxa"/>
            <w:vAlign w:val="center"/>
          </w:tcPr>
          <w:p w14:paraId="42C11E2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76.4</w:t>
            </w:r>
          </w:p>
        </w:tc>
        <w:tc>
          <w:tcPr>
            <w:tcW w:w="1089" w:type="dxa"/>
            <w:vAlign w:val="center"/>
          </w:tcPr>
          <w:p w14:paraId="492E252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76.4% </w:t>
            </w:r>
          </w:p>
        </w:tc>
      </w:tr>
      <w:tr w14:paraId="7CF3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051B5A7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PSA：150mg，C18：150mg</w:t>
            </w:r>
          </w:p>
        </w:tc>
        <w:tc>
          <w:tcPr>
            <w:tcW w:w="1166" w:type="dxa"/>
            <w:vAlign w:val="center"/>
          </w:tcPr>
          <w:p w14:paraId="403B8C4A">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71.2</w:t>
            </w:r>
          </w:p>
        </w:tc>
        <w:tc>
          <w:tcPr>
            <w:tcW w:w="1166" w:type="dxa"/>
            <w:vAlign w:val="center"/>
          </w:tcPr>
          <w:p w14:paraId="3B08E8B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69.2</w:t>
            </w:r>
          </w:p>
        </w:tc>
        <w:tc>
          <w:tcPr>
            <w:tcW w:w="1166" w:type="dxa"/>
            <w:vAlign w:val="center"/>
          </w:tcPr>
          <w:p w14:paraId="15D2498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68.6</w:t>
            </w:r>
          </w:p>
        </w:tc>
        <w:tc>
          <w:tcPr>
            <w:tcW w:w="1603" w:type="dxa"/>
            <w:vAlign w:val="center"/>
          </w:tcPr>
          <w:p w14:paraId="0F2A438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69.7 </w:t>
            </w:r>
          </w:p>
        </w:tc>
        <w:tc>
          <w:tcPr>
            <w:tcW w:w="1089" w:type="dxa"/>
            <w:vAlign w:val="center"/>
          </w:tcPr>
          <w:p w14:paraId="3C39A11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69.7% </w:t>
            </w:r>
          </w:p>
        </w:tc>
      </w:tr>
      <w:tr w14:paraId="1DF3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4A44645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PSA：100mg，C18：150mg，MgSO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53F3DE9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78.1 </w:t>
            </w:r>
          </w:p>
        </w:tc>
        <w:tc>
          <w:tcPr>
            <w:tcW w:w="1166" w:type="dxa"/>
            <w:vAlign w:val="center"/>
          </w:tcPr>
          <w:p w14:paraId="1544D75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77.6</w:t>
            </w:r>
          </w:p>
        </w:tc>
        <w:tc>
          <w:tcPr>
            <w:tcW w:w="1166" w:type="dxa"/>
            <w:vAlign w:val="center"/>
          </w:tcPr>
          <w:p w14:paraId="404CF24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77.8</w:t>
            </w:r>
          </w:p>
        </w:tc>
        <w:tc>
          <w:tcPr>
            <w:tcW w:w="1603" w:type="dxa"/>
            <w:vAlign w:val="center"/>
          </w:tcPr>
          <w:p w14:paraId="7E5898E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77.8 </w:t>
            </w:r>
          </w:p>
        </w:tc>
        <w:tc>
          <w:tcPr>
            <w:tcW w:w="1089" w:type="dxa"/>
            <w:vAlign w:val="center"/>
          </w:tcPr>
          <w:p w14:paraId="7DE97F5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77.8% </w:t>
            </w:r>
          </w:p>
        </w:tc>
      </w:tr>
      <w:tr w14:paraId="57CF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2C67FFF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PSA：200mg，C18：150mg，MgSO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05A779F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76.9</w:t>
            </w:r>
          </w:p>
        </w:tc>
        <w:tc>
          <w:tcPr>
            <w:tcW w:w="1166" w:type="dxa"/>
            <w:vAlign w:val="center"/>
          </w:tcPr>
          <w:p w14:paraId="5E07A7B8">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77.7</w:t>
            </w:r>
          </w:p>
        </w:tc>
        <w:tc>
          <w:tcPr>
            <w:tcW w:w="1166" w:type="dxa"/>
            <w:vAlign w:val="center"/>
          </w:tcPr>
          <w:p w14:paraId="6F61BA2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77.9</w:t>
            </w:r>
          </w:p>
        </w:tc>
        <w:tc>
          <w:tcPr>
            <w:tcW w:w="1603" w:type="dxa"/>
            <w:vAlign w:val="center"/>
          </w:tcPr>
          <w:p w14:paraId="243E826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77.5</w:t>
            </w:r>
          </w:p>
        </w:tc>
        <w:tc>
          <w:tcPr>
            <w:tcW w:w="1089" w:type="dxa"/>
            <w:vAlign w:val="center"/>
          </w:tcPr>
          <w:p w14:paraId="79159C8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77.5% </w:t>
            </w:r>
          </w:p>
        </w:tc>
      </w:tr>
      <w:tr w14:paraId="767E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685A049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PSA：300mg，C18：150mg，MgSO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31B3783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75.5</w:t>
            </w:r>
          </w:p>
        </w:tc>
        <w:tc>
          <w:tcPr>
            <w:tcW w:w="1166" w:type="dxa"/>
            <w:vAlign w:val="center"/>
          </w:tcPr>
          <w:p w14:paraId="3F944794">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78.4</w:t>
            </w:r>
          </w:p>
        </w:tc>
        <w:tc>
          <w:tcPr>
            <w:tcW w:w="1166" w:type="dxa"/>
            <w:vAlign w:val="center"/>
          </w:tcPr>
          <w:p w14:paraId="3A07577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78.0</w:t>
            </w:r>
          </w:p>
        </w:tc>
        <w:tc>
          <w:tcPr>
            <w:tcW w:w="1603" w:type="dxa"/>
            <w:vAlign w:val="center"/>
          </w:tcPr>
          <w:p w14:paraId="75CBD7B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77.3 </w:t>
            </w:r>
          </w:p>
        </w:tc>
        <w:tc>
          <w:tcPr>
            <w:tcW w:w="1089" w:type="dxa"/>
            <w:vAlign w:val="center"/>
          </w:tcPr>
          <w:p w14:paraId="01D7ED5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77.3% </w:t>
            </w:r>
          </w:p>
        </w:tc>
      </w:tr>
      <w:tr w14:paraId="238CC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6990CF9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PSA：400mg，C18：150mg，MgSO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28C9DA3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78.9</w:t>
            </w:r>
          </w:p>
        </w:tc>
        <w:tc>
          <w:tcPr>
            <w:tcW w:w="1166" w:type="dxa"/>
            <w:vAlign w:val="center"/>
          </w:tcPr>
          <w:p w14:paraId="694FD1A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76.6</w:t>
            </w:r>
          </w:p>
        </w:tc>
        <w:tc>
          <w:tcPr>
            <w:tcW w:w="1166" w:type="dxa"/>
            <w:vAlign w:val="center"/>
          </w:tcPr>
          <w:p w14:paraId="1E6A04B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79.1</w:t>
            </w:r>
          </w:p>
        </w:tc>
        <w:tc>
          <w:tcPr>
            <w:tcW w:w="1603" w:type="dxa"/>
            <w:vAlign w:val="center"/>
          </w:tcPr>
          <w:p w14:paraId="58833DA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78.2</w:t>
            </w:r>
          </w:p>
        </w:tc>
        <w:tc>
          <w:tcPr>
            <w:tcW w:w="1089" w:type="dxa"/>
            <w:vAlign w:val="center"/>
          </w:tcPr>
          <w:p w14:paraId="2101CD2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78.2% </w:t>
            </w:r>
          </w:p>
        </w:tc>
      </w:tr>
      <w:tr w14:paraId="24C4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376F9B3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PSA：150mg，C18：100mg，MgSO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3D95299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78.6 </w:t>
            </w:r>
          </w:p>
        </w:tc>
        <w:tc>
          <w:tcPr>
            <w:tcW w:w="1166" w:type="dxa"/>
            <w:vAlign w:val="center"/>
          </w:tcPr>
          <w:p w14:paraId="20E0FF9F">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77.7</w:t>
            </w:r>
          </w:p>
        </w:tc>
        <w:tc>
          <w:tcPr>
            <w:tcW w:w="1166" w:type="dxa"/>
            <w:vAlign w:val="center"/>
          </w:tcPr>
          <w:p w14:paraId="1980F4C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78.1</w:t>
            </w:r>
          </w:p>
        </w:tc>
        <w:tc>
          <w:tcPr>
            <w:tcW w:w="1603" w:type="dxa"/>
            <w:vAlign w:val="center"/>
          </w:tcPr>
          <w:p w14:paraId="612EA80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78.1</w:t>
            </w:r>
          </w:p>
        </w:tc>
        <w:tc>
          <w:tcPr>
            <w:tcW w:w="1089" w:type="dxa"/>
            <w:vAlign w:val="center"/>
          </w:tcPr>
          <w:p w14:paraId="4E6A37F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78.1% </w:t>
            </w:r>
          </w:p>
        </w:tc>
      </w:tr>
      <w:tr w14:paraId="59E4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3612C83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PSA：150mg，C18：200mg，MgSO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7BC3CA28">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78.2 </w:t>
            </w:r>
          </w:p>
        </w:tc>
        <w:tc>
          <w:tcPr>
            <w:tcW w:w="1166" w:type="dxa"/>
            <w:vAlign w:val="center"/>
          </w:tcPr>
          <w:p w14:paraId="6156BC6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78.2</w:t>
            </w:r>
          </w:p>
        </w:tc>
        <w:tc>
          <w:tcPr>
            <w:tcW w:w="1166" w:type="dxa"/>
            <w:vAlign w:val="center"/>
          </w:tcPr>
          <w:p w14:paraId="3BCBB6B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78.1 </w:t>
            </w:r>
          </w:p>
        </w:tc>
        <w:tc>
          <w:tcPr>
            <w:tcW w:w="1603" w:type="dxa"/>
            <w:vAlign w:val="center"/>
          </w:tcPr>
          <w:p w14:paraId="374DCE2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78.2</w:t>
            </w:r>
          </w:p>
        </w:tc>
        <w:tc>
          <w:tcPr>
            <w:tcW w:w="1089" w:type="dxa"/>
            <w:vAlign w:val="center"/>
          </w:tcPr>
          <w:p w14:paraId="5C0217C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78.2%</w:t>
            </w:r>
          </w:p>
        </w:tc>
      </w:tr>
      <w:tr w14:paraId="1D18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15884E0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PSA：150mg，C18：300mg，MgSO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447C92AF">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76.1</w:t>
            </w:r>
          </w:p>
        </w:tc>
        <w:tc>
          <w:tcPr>
            <w:tcW w:w="1166" w:type="dxa"/>
            <w:vAlign w:val="center"/>
          </w:tcPr>
          <w:p w14:paraId="5F5B331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75.2</w:t>
            </w:r>
          </w:p>
        </w:tc>
        <w:tc>
          <w:tcPr>
            <w:tcW w:w="1166" w:type="dxa"/>
            <w:vAlign w:val="center"/>
          </w:tcPr>
          <w:p w14:paraId="52BB542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75.5</w:t>
            </w:r>
          </w:p>
        </w:tc>
        <w:tc>
          <w:tcPr>
            <w:tcW w:w="1603" w:type="dxa"/>
            <w:vAlign w:val="center"/>
          </w:tcPr>
          <w:p w14:paraId="11BB87C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75.6</w:t>
            </w:r>
          </w:p>
        </w:tc>
        <w:tc>
          <w:tcPr>
            <w:tcW w:w="1089" w:type="dxa"/>
            <w:vAlign w:val="center"/>
          </w:tcPr>
          <w:p w14:paraId="2110E33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75.6% </w:t>
            </w:r>
          </w:p>
        </w:tc>
      </w:tr>
      <w:tr w14:paraId="1B51A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6F066C7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PSA：150mg，C18：400mg，MgSO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7D17118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75.7</w:t>
            </w:r>
          </w:p>
        </w:tc>
        <w:tc>
          <w:tcPr>
            <w:tcW w:w="1166" w:type="dxa"/>
            <w:vAlign w:val="center"/>
          </w:tcPr>
          <w:p w14:paraId="5CCBC18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77.5</w:t>
            </w:r>
          </w:p>
        </w:tc>
        <w:tc>
          <w:tcPr>
            <w:tcW w:w="1166" w:type="dxa"/>
            <w:vAlign w:val="center"/>
          </w:tcPr>
          <w:p w14:paraId="4586646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76.2</w:t>
            </w:r>
          </w:p>
        </w:tc>
        <w:tc>
          <w:tcPr>
            <w:tcW w:w="1603" w:type="dxa"/>
            <w:vAlign w:val="center"/>
          </w:tcPr>
          <w:p w14:paraId="524F40F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76.5 </w:t>
            </w:r>
          </w:p>
        </w:tc>
        <w:tc>
          <w:tcPr>
            <w:tcW w:w="1089" w:type="dxa"/>
            <w:vAlign w:val="center"/>
          </w:tcPr>
          <w:p w14:paraId="46504B52">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76.5% </w:t>
            </w:r>
          </w:p>
        </w:tc>
      </w:tr>
      <w:tr w14:paraId="5B7A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005F81E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：100mg</w:t>
            </w:r>
          </w:p>
        </w:tc>
        <w:tc>
          <w:tcPr>
            <w:tcW w:w="1166" w:type="dxa"/>
            <w:vAlign w:val="center"/>
          </w:tcPr>
          <w:p w14:paraId="4143996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73.3</w:t>
            </w:r>
          </w:p>
        </w:tc>
        <w:tc>
          <w:tcPr>
            <w:tcW w:w="1166" w:type="dxa"/>
            <w:vAlign w:val="center"/>
          </w:tcPr>
          <w:p w14:paraId="61BA4A98">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71.7</w:t>
            </w:r>
          </w:p>
        </w:tc>
        <w:tc>
          <w:tcPr>
            <w:tcW w:w="1166" w:type="dxa"/>
            <w:vAlign w:val="center"/>
          </w:tcPr>
          <w:p w14:paraId="1F5B1CB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72.1</w:t>
            </w:r>
          </w:p>
        </w:tc>
        <w:tc>
          <w:tcPr>
            <w:tcW w:w="1603" w:type="dxa"/>
            <w:vAlign w:val="center"/>
          </w:tcPr>
          <w:p w14:paraId="4686CC1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72.4</w:t>
            </w:r>
          </w:p>
        </w:tc>
        <w:tc>
          <w:tcPr>
            <w:tcW w:w="1089" w:type="dxa"/>
            <w:vAlign w:val="center"/>
          </w:tcPr>
          <w:p w14:paraId="35BCCD1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72.4% </w:t>
            </w:r>
          </w:p>
        </w:tc>
      </w:tr>
      <w:tr w14:paraId="3E9D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2302AF1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：400mg</w:t>
            </w:r>
          </w:p>
        </w:tc>
        <w:tc>
          <w:tcPr>
            <w:tcW w:w="1166" w:type="dxa"/>
            <w:vAlign w:val="center"/>
          </w:tcPr>
          <w:p w14:paraId="012FA60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78.9 </w:t>
            </w:r>
          </w:p>
        </w:tc>
        <w:tc>
          <w:tcPr>
            <w:tcW w:w="1166" w:type="dxa"/>
            <w:vAlign w:val="center"/>
          </w:tcPr>
          <w:p w14:paraId="1061E6A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78.3</w:t>
            </w:r>
          </w:p>
        </w:tc>
        <w:tc>
          <w:tcPr>
            <w:tcW w:w="1166" w:type="dxa"/>
            <w:vAlign w:val="center"/>
          </w:tcPr>
          <w:p w14:paraId="764C346A">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77.9</w:t>
            </w:r>
          </w:p>
        </w:tc>
        <w:tc>
          <w:tcPr>
            <w:tcW w:w="1603" w:type="dxa"/>
            <w:vAlign w:val="center"/>
          </w:tcPr>
          <w:p w14:paraId="53E7C7F8">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78.3 </w:t>
            </w:r>
          </w:p>
        </w:tc>
        <w:tc>
          <w:tcPr>
            <w:tcW w:w="1089" w:type="dxa"/>
            <w:vAlign w:val="center"/>
          </w:tcPr>
          <w:p w14:paraId="3000ED0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78.3%</w:t>
            </w:r>
          </w:p>
        </w:tc>
      </w:tr>
      <w:tr w14:paraId="73BDE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7111493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：500mg</w:t>
            </w:r>
          </w:p>
        </w:tc>
        <w:tc>
          <w:tcPr>
            <w:tcW w:w="1166" w:type="dxa"/>
            <w:vAlign w:val="center"/>
          </w:tcPr>
          <w:p w14:paraId="73A0258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76.3</w:t>
            </w:r>
          </w:p>
        </w:tc>
        <w:tc>
          <w:tcPr>
            <w:tcW w:w="1166" w:type="dxa"/>
            <w:vAlign w:val="center"/>
          </w:tcPr>
          <w:p w14:paraId="0341610F">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77.5</w:t>
            </w:r>
          </w:p>
        </w:tc>
        <w:tc>
          <w:tcPr>
            <w:tcW w:w="1166" w:type="dxa"/>
            <w:vAlign w:val="center"/>
          </w:tcPr>
          <w:p w14:paraId="1097C74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76.8</w:t>
            </w:r>
          </w:p>
        </w:tc>
        <w:tc>
          <w:tcPr>
            <w:tcW w:w="1603" w:type="dxa"/>
            <w:vAlign w:val="center"/>
          </w:tcPr>
          <w:p w14:paraId="4719EEE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76.9 </w:t>
            </w:r>
          </w:p>
        </w:tc>
        <w:tc>
          <w:tcPr>
            <w:tcW w:w="1089" w:type="dxa"/>
            <w:vAlign w:val="center"/>
          </w:tcPr>
          <w:p w14:paraId="2C16FC1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76.9% </w:t>
            </w:r>
          </w:p>
        </w:tc>
      </w:tr>
    </w:tbl>
    <w:p w14:paraId="19581DC1">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jc w:val="center"/>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表5 榴莲肉不同净化方式对比结果</w:t>
      </w:r>
    </w:p>
    <w:tbl>
      <w:tblPr>
        <w:tblStyle w:val="8"/>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2795"/>
        <w:gridCol w:w="1166"/>
        <w:gridCol w:w="1166"/>
        <w:gridCol w:w="1166"/>
        <w:gridCol w:w="1603"/>
        <w:gridCol w:w="1089"/>
      </w:tblGrid>
      <w:tr w14:paraId="15E3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tblHeader/>
          <w:jc w:val="center"/>
        </w:trPr>
        <w:tc>
          <w:tcPr>
            <w:tcW w:w="2795" w:type="dxa"/>
            <w:vAlign w:val="center"/>
          </w:tcPr>
          <w:p w14:paraId="2FB7A652">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净化方式</w:t>
            </w:r>
          </w:p>
        </w:tc>
        <w:tc>
          <w:tcPr>
            <w:tcW w:w="1166" w:type="dxa"/>
            <w:vAlign w:val="center"/>
          </w:tcPr>
          <w:p w14:paraId="34FA7A9F">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检测结果1（ng）</w:t>
            </w:r>
          </w:p>
        </w:tc>
        <w:tc>
          <w:tcPr>
            <w:tcW w:w="1166" w:type="dxa"/>
            <w:vAlign w:val="center"/>
          </w:tcPr>
          <w:p w14:paraId="17BF025F">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检测结果2（ng）</w:t>
            </w:r>
          </w:p>
        </w:tc>
        <w:tc>
          <w:tcPr>
            <w:tcW w:w="1166" w:type="dxa"/>
            <w:vAlign w:val="center"/>
          </w:tcPr>
          <w:p w14:paraId="5F5376AA">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检测结果3（ng）</w:t>
            </w:r>
          </w:p>
        </w:tc>
        <w:tc>
          <w:tcPr>
            <w:tcW w:w="1603" w:type="dxa"/>
            <w:vAlign w:val="center"/>
          </w:tcPr>
          <w:p w14:paraId="7767B8FA">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检测结果平均值（ng）</w:t>
            </w:r>
          </w:p>
        </w:tc>
        <w:tc>
          <w:tcPr>
            <w:tcW w:w="1089" w:type="dxa"/>
            <w:vAlign w:val="center"/>
          </w:tcPr>
          <w:p w14:paraId="0D7B45FF">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bCs w:val="0"/>
                <w:sz w:val="24"/>
                <w:szCs w:val="24"/>
                <w:vertAlign w:val="baseline"/>
                <w:lang w:val="en-US" w:eastAsia="zh-CN"/>
              </w:rPr>
            </w:pPr>
            <w:r>
              <w:rPr>
                <w:rFonts w:hint="eastAsia" w:ascii="仿宋_GB2312" w:hAnsi="仿宋_GB2312" w:eastAsia="仿宋_GB2312" w:cs="仿宋_GB2312"/>
                <w:b/>
                <w:bCs w:val="0"/>
                <w:sz w:val="24"/>
                <w:szCs w:val="24"/>
                <w:vertAlign w:val="baseline"/>
                <w:lang w:val="en-US" w:eastAsia="zh-CN"/>
              </w:rPr>
              <w:t>回收率%</w:t>
            </w:r>
          </w:p>
        </w:tc>
      </w:tr>
      <w:tr w14:paraId="5857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03E435E3">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2EF046B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79.3</w:t>
            </w:r>
          </w:p>
        </w:tc>
        <w:tc>
          <w:tcPr>
            <w:tcW w:w="1166" w:type="dxa"/>
            <w:vAlign w:val="center"/>
          </w:tcPr>
          <w:p w14:paraId="678456AA">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78.2</w:t>
            </w:r>
          </w:p>
        </w:tc>
        <w:tc>
          <w:tcPr>
            <w:tcW w:w="1166" w:type="dxa"/>
            <w:vAlign w:val="center"/>
          </w:tcPr>
          <w:p w14:paraId="5D949B4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79.6</w:t>
            </w:r>
          </w:p>
        </w:tc>
        <w:tc>
          <w:tcPr>
            <w:tcW w:w="1603" w:type="dxa"/>
            <w:vAlign w:val="center"/>
          </w:tcPr>
          <w:p w14:paraId="4C2E19D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79.0 </w:t>
            </w:r>
          </w:p>
        </w:tc>
        <w:tc>
          <w:tcPr>
            <w:tcW w:w="1089" w:type="dxa"/>
            <w:vAlign w:val="center"/>
          </w:tcPr>
          <w:p w14:paraId="5EBFD882">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79.0%</w:t>
            </w:r>
          </w:p>
        </w:tc>
      </w:tr>
      <w:tr w14:paraId="68D0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370140D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51F7762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80.0</w:t>
            </w:r>
          </w:p>
        </w:tc>
        <w:tc>
          <w:tcPr>
            <w:tcW w:w="1166" w:type="dxa"/>
            <w:vAlign w:val="center"/>
          </w:tcPr>
          <w:p w14:paraId="59B8DCD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78.9</w:t>
            </w:r>
          </w:p>
        </w:tc>
        <w:tc>
          <w:tcPr>
            <w:tcW w:w="1166" w:type="dxa"/>
            <w:vAlign w:val="center"/>
          </w:tcPr>
          <w:p w14:paraId="0D08540F">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77.3</w:t>
            </w:r>
          </w:p>
        </w:tc>
        <w:tc>
          <w:tcPr>
            <w:tcW w:w="1603" w:type="dxa"/>
            <w:vAlign w:val="center"/>
          </w:tcPr>
          <w:p w14:paraId="1636E54F">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78.7</w:t>
            </w:r>
          </w:p>
        </w:tc>
        <w:tc>
          <w:tcPr>
            <w:tcW w:w="1089" w:type="dxa"/>
            <w:vAlign w:val="center"/>
          </w:tcPr>
          <w:p w14:paraId="4646371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78.7% </w:t>
            </w:r>
          </w:p>
        </w:tc>
      </w:tr>
      <w:tr w14:paraId="5729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1B72F48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27791D6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76.4</w:t>
            </w:r>
          </w:p>
        </w:tc>
        <w:tc>
          <w:tcPr>
            <w:tcW w:w="1166" w:type="dxa"/>
            <w:vAlign w:val="center"/>
          </w:tcPr>
          <w:p w14:paraId="6F75CCD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76.0</w:t>
            </w:r>
          </w:p>
        </w:tc>
        <w:tc>
          <w:tcPr>
            <w:tcW w:w="1166" w:type="dxa"/>
            <w:vAlign w:val="center"/>
          </w:tcPr>
          <w:p w14:paraId="4365A098">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79.5</w:t>
            </w:r>
          </w:p>
        </w:tc>
        <w:tc>
          <w:tcPr>
            <w:tcW w:w="1603" w:type="dxa"/>
            <w:vAlign w:val="center"/>
          </w:tcPr>
          <w:p w14:paraId="0C9B5C1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77.3 </w:t>
            </w:r>
          </w:p>
        </w:tc>
        <w:tc>
          <w:tcPr>
            <w:tcW w:w="1089" w:type="dxa"/>
            <w:vAlign w:val="center"/>
          </w:tcPr>
          <w:p w14:paraId="49CF3592">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77.3% </w:t>
            </w:r>
          </w:p>
        </w:tc>
      </w:tr>
      <w:tr w14:paraId="3D158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6B84868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PSA：150mg，C18：150mg</w:t>
            </w:r>
          </w:p>
        </w:tc>
        <w:tc>
          <w:tcPr>
            <w:tcW w:w="1166" w:type="dxa"/>
            <w:vAlign w:val="center"/>
          </w:tcPr>
          <w:p w14:paraId="724621E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73.9</w:t>
            </w:r>
          </w:p>
        </w:tc>
        <w:tc>
          <w:tcPr>
            <w:tcW w:w="1166" w:type="dxa"/>
            <w:vAlign w:val="center"/>
          </w:tcPr>
          <w:p w14:paraId="6E4AD80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73.5</w:t>
            </w:r>
          </w:p>
        </w:tc>
        <w:tc>
          <w:tcPr>
            <w:tcW w:w="1166" w:type="dxa"/>
            <w:vAlign w:val="center"/>
          </w:tcPr>
          <w:p w14:paraId="005AAA3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72.0</w:t>
            </w:r>
          </w:p>
        </w:tc>
        <w:tc>
          <w:tcPr>
            <w:tcW w:w="1603" w:type="dxa"/>
            <w:vAlign w:val="center"/>
          </w:tcPr>
          <w:p w14:paraId="3C6F92D8">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73.1 </w:t>
            </w:r>
          </w:p>
        </w:tc>
        <w:tc>
          <w:tcPr>
            <w:tcW w:w="1089" w:type="dxa"/>
            <w:vAlign w:val="center"/>
          </w:tcPr>
          <w:p w14:paraId="21DA5E0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73.1%</w:t>
            </w:r>
          </w:p>
        </w:tc>
      </w:tr>
      <w:tr w14:paraId="0F12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2CB7539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PSA：100mg，C18：150mg，MgSO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5A0C09B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71.8</w:t>
            </w:r>
          </w:p>
        </w:tc>
        <w:tc>
          <w:tcPr>
            <w:tcW w:w="1166" w:type="dxa"/>
            <w:vAlign w:val="center"/>
          </w:tcPr>
          <w:p w14:paraId="24779B7F">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71.0</w:t>
            </w:r>
          </w:p>
        </w:tc>
        <w:tc>
          <w:tcPr>
            <w:tcW w:w="1166" w:type="dxa"/>
            <w:vAlign w:val="center"/>
          </w:tcPr>
          <w:p w14:paraId="0E6EC592">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71.5</w:t>
            </w:r>
          </w:p>
        </w:tc>
        <w:tc>
          <w:tcPr>
            <w:tcW w:w="1603" w:type="dxa"/>
            <w:vAlign w:val="center"/>
          </w:tcPr>
          <w:p w14:paraId="0FD828C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71.4 </w:t>
            </w:r>
          </w:p>
        </w:tc>
        <w:tc>
          <w:tcPr>
            <w:tcW w:w="1089" w:type="dxa"/>
            <w:vAlign w:val="center"/>
          </w:tcPr>
          <w:p w14:paraId="26375C1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71.4% </w:t>
            </w:r>
          </w:p>
        </w:tc>
      </w:tr>
      <w:tr w14:paraId="5421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6CD2920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PSA：200mg，C18：150mg，MgSO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0A46E86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76.3</w:t>
            </w:r>
          </w:p>
        </w:tc>
        <w:tc>
          <w:tcPr>
            <w:tcW w:w="1166" w:type="dxa"/>
            <w:vAlign w:val="center"/>
          </w:tcPr>
          <w:p w14:paraId="44548EF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78.3</w:t>
            </w:r>
          </w:p>
        </w:tc>
        <w:tc>
          <w:tcPr>
            <w:tcW w:w="1166" w:type="dxa"/>
            <w:vAlign w:val="center"/>
          </w:tcPr>
          <w:p w14:paraId="4E6349E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78.0</w:t>
            </w:r>
          </w:p>
        </w:tc>
        <w:tc>
          <w:tcPr>
            <w:tcW w:w="1603" w:type="dxa"/>
            <w:vAlign w:val="center"/>
          </w:tcPr>
          <w:p w14:paraId="020FBC0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77.5 </w:t>
            </w:r>
          </w:p>
        </w:tc>
        <w:tc>
          <w:tcPr>
            <w:tcW w:w="1089" w:type="dxa"/>
            <w:vAlign w:val="center"/>
          </w:tcPr>
          <w:p w14:paraId="45A2FD0F">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77.5%</w:t>
            </w:r>
          </w:p>
        </w:tc>
      </w:tr>
      <w:tr w14:paraId="6E8E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617B55F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PSA：300mg，C18：150mg，MgSO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1AE85392">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73.0</w:t>
            </w:r>
          </w:p>
        </w:tc>
        <w:tc>
          <w:tcPr>
            <w:tcW w:w="1166" w:type="dxa"/>
            <w:vAlign w:val="center"/>
          </w:tcPr>
          <w:p w14:paraId="519F1D34">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71.3 </w:t>
            </w:r>
          </w:p>
        </w:tc>
        <w:tc>
          <w:tcPr>
            <w:tcW w:w="1166" w:type="dxa"/>
            <w:vAlign w:val="center"/>
          </w:tcPr>
          <w:p w14:paraId="060E15E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75.0</w:t>
            </w:r>
          </w:p>
        </w:tc>
        <w:tc>
          <w:tcPr>
            <w:tcW w:w="1603" w:type="dxa"/>
            <w:vAlign w:val="center"/>
          </w:tcPr>
          <w:p w14:paraId="53B84B7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73.1</w:t>
            </w:r>
          </w:p>
        </w:tc>
        <w:tc>
          <w:tcPr>
            <w:tcW w:w="1089" w:type="dxa"/>
            <w:vAlign w:val="center"/>
          </w:tcPr>
          <w:p w14:paraId="4CCE2F2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73.1%</w:t>
            </w:r>
          </w:p>
        </w:tc>
      </w:tr>
      <w:tr w14:paraId="20A46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5C2BC4D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PSA：400mg，C18：150mg，MgSO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6133480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73.6</w:t>
            </w:r>
          </w:p>
        </w:tc>
        <w:tc>
          <w:tcPr>
            <w:tcW w:w="1166" w:type="dxa"/>
            <w:vAlign w:val="center"/>
          </w:tcPr>
          <w:p w14:paraId="0FDD4498">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73.7</w:t>
            </w:r>
          </w:p>
        </w:tc>
        <w:tc>
          <w:tcPr>
            <w:tcW w:w="1166" w:type="dxa"/>
            <w:vAlign w:val="center"/>
          </w:tcPr>
          <w:p w14:paraId="7D13F3B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68.0</w:t>
            </w:r>
          </w:p>
        </w:tc>
        <w:tc>
          <w:tcPr>
            <w:tcW w:w="1603" w:type="dxa"/>
            <w:vAlign w:val="center"/>
          </w:tcPr>
          <w:p w14:paraId="31F2AAA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71.8</w:t>
            </w:r>
          </w:p>
        </w:tc>
        <w:tc>
          <w:tcPr>
            <w:tcW w:w="1089" w:type="dxa"/>
            <w:vAlign w:val="center"/>
          </w:tcPr>
          <w:p w14:paraId="52CA2B1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71.8%</w:t>
            </w:r>
          </w:p>
        </w:tc>
      </w:tr>
      <w:tr w14:paraId="2444D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7607E27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PSA：150mg，C18：100mg，MgSO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583F1AF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71.6 </w:t>
            </w:r>
          </w:p>
        </w:tc>
        <w:tc>
          <w:tcPr>
            <w:tcW w:w="1166" w:type="dxa"/>
            <w:vAlign w:val="center"/>
          </w:tcPr>
          <w:p w14:paraId="08A6E814">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72.0</w:t>
            </w:r>
          </w:p>
        </w:tc>
        <w:tc>
          <w:tcPr>
            <w:tcW w:w="1166" w:type="dxa"/>
            <w:vAlign w:val="center"/>
          </w:tcPr>
          <w:p w14:paraId="789E15C2">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71.5</w:t>
            </w:r>
          </w:p>
        </w:tc>
        <w:tc>
          <w:tcPr>
            <w:tcW w:w="1603" w:type="dxa"/>
            <w:vAlign w:val="center"/>
          </w:tcPr>
          <w:p w14:paraId="2F8F9CB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71.7</w:t>
            </w:r>
          </w:p>
        </w:tc>
        <w:tc>
          <w:tcPr>
            <w:tcW w:w="1089" w:type="dxa"/>
            <w:vAlign w:val="center"/>
          </w:tcPr>
          <w:p w14:paraId="05D6BBF8">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71.7% </w:t>
            </w:r>
          </w:p>
        </w:tc>
      </w:tr>
      <w:tr w14:paraId="7245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2FF8963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PSA：150mg，C18：200mg，MgSO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47CBCF1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73.9</w:t>
            </w:r>
          </w:p>
        </w:tc>
        <w:tc>
          <w:tcPr>
            <w:tcW w:w="1166" w:type="dxa"/>
            <w:vAlign w:val="center"/>
          </w:tcPr>
          <w:p w14:paraId="2D7F790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71.5</w:t>
            </w:r>
          </w:p>
        </w:tc>
        <w:tc>
          <w:tcPr>
            <w:tcW w:w="1166" w:type="dxa"/>
            <w:vAlign w:val="center"/>
          </w:tcPr>
          <w:p w14:paraId="09C3753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71.8</w:t>
            </w:r>
          </w:p>
        </w:tc>
        <w:tc>
          <w:tcPr>
            <w:tcW w:w="1603" w:type="dxa"/>
            <w:vAlign w:val="center"/>
          </w:tcPr>
          <w:p w14:paraId="07D3E292">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72.4 </w:t>
            </w:r>
          </w:p>
        </w:tc>
        <w:tc>
          <w:tcPr>
            <w:tcW w:w="1089" w:type="dxa"/>
            <w:vAlign w:val="center"/>
          </w:tcPr>
          <w:p w14:paraId="3F7A68A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72.4% </w:t>
            </w:r>
          </w:p>
        </w:tc>
      </w:tr>
      <w:tr w14:paraId="486F4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3869DEA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PSA：150mg，C18：300mg，MgSO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39F25E1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72.5</w:t>
            </w:r>
          </w:p>
        </w:tc>
        <w:tc>
          <w:tcPr>
            <w:tcW w:w="1166" w:type="dxa"/>
            <w:vAlign w:val="center"/>
          </w:tcPr>
          <w:p w14:paraId="0560F60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69.4</w:t>
            </w:r>
          </w:p>
        </w:tc>
        <w:tc>
          <w:tcPr>
            <w:tcW w:w="1166" w:type="dxa"/>
            <w:vAlign w:val="center"/>
          </w:tcPr>
          <w:p w14:paraId="27FB03E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71.1</w:t>
            </w:r>
          </w:p>
        </w:tc>
        <w:tc>
          <w:tcPr>
            <w:tcW w:w="1603" w:type="dxa"/>
            <w:vAlign w:val="center"/>
          </w:tcPr>
          <w:p w14:paraId="6E69A9D2">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71.0 </w:t>
            </w:r>
          </w:p>
        </w:tc>
        <w:tc>
          <w:tcPr>
            <w:tcW w:w="1089" w:type="dxa"/>
            <w:vAlign w:val="center"/>
          </w:tcPr>
          <w:p w14:paraId="49C33B3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71.0%</w:t>
            </w:r>
          </w:p>
        </w:tc>
      </w:tr>
      <w:tr w14:paraId="52188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17AB43D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PSA：150mg，C18：400mg，MgSO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：300mg</w:t>
            </w:r>
          </w:p>
        </w:tc>
        <w:tc>
          <w:tcPr>
            <w:tcW w:w="1166" w:type="dxa"/>
            <w:vAlign w:val="center"/>
          </w:tcPr>
          <w:p w14:paraId="054610B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69.6</w:t>
            </w:r>
          </w:p>
        </w:tc>
        <w:tc>
          <w:tcPr>
            <w:tcW w:w="1166" w:type="dxa"/>
            <w:vAlign w:val="center"/>
          </w:tcPr>
          <w:p w14:paraId="2872AEA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69.1</w:t>
            </w:r>
          </w:p>
        </w:tc>
        <w:tc>
          <w:tcPr>
            <w:tcW w:w="1166" w:type="dxa"/>
            <w:vAlign w:val="center"/>
          </w:tcPr>
          <w:p w14:paraId="382FEF9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70.7</w:t>
            </w:r>
          </w:p>
        </w:tc>
        <w:tc>
          <w:tcPr>
            <w:tcW w:w="1603" w:type="dxa"/>
            <w:vAlign w:val="center"/>
          </w:tcPr>
          <w:p w14:paraId="37D13C5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69.8 </w:t>
            </w:r>
          </w:p>
        </w:tc>
        <w:tc>
          <w:tcPr>
            <w:tcW w:w="1089" w:type="dxa"/>
            <w:vAlign w:val="center"/>
          </w:tcPr>
          <w:p w14:paraId="4078153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69.8% </w:t>
            </w:r>
          </w:p>
        </w:tc>
      </w:tr>
      <w:tr w14:paraId="2D66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526B9DC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：100mg</w:t>
            </w:r>
          </w:p>
        </w:tc>
        <w:tc>
          <w:tcPr>
            <w:tcW w:w="1166" w:type="dxa"/>
            <w:vAlign w:val="center"/>
          </w:tcPr>
          <w:p w14:paraId="3702003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71.4</w:t>
            </w:r>
          </w:p>
        </w:tc>
        <w:tc>
          <w:tcPr>
            <w:tcW w:w="1166" w:type="dxa"/>
            <w:vAlign w:val="center"/>
          </w:tcPr>
          <w:p w14:paraId="10A3439A">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72.3</w:t>
            </w:r>
          </w:p>
        </w:tc>
        <w:tc>
          <w:tcPr>
            <w:tcW w:w="1166" w:type="dxa"/>
            <w:vAlign w:val="center"/>
          </w:tcPr>
          <w:p w14:paraId="2A20F86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69.8</w:t>
            </w:r>
          </w:p>
        </w:tc>
        <w:tc>
          <w:tcPr>
            <w:tcW w:w="1603" w:type="dxa"/>
            <w:vAlign w:val="center"/>
          </w:tcPr>
          <w:p w14:paraId="1A0EA86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71.2</w:t>
            </w:r>
          </w:p>
        </w:tc>
        <w:tc>
          <w:tcPr>
            <w:tcW w:w="1089" w:type="dxa"/>
            <w:vAlign w:val="center"/>
          </w:tcPr>
          <w:p w14:paraId="3A24409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71.2% </w:t>
            </w:r>
          </w:p>
        </w:tc>
      </w:tr>
      <w:tr w14:paraId="3CCA0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5E6693A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：400mg</w:t>
            </w:r>
          </w:p>
        </w:tc>
        <w:tc>
          <w:tcPr>
            <w:tcW w:w="1166" w:type="dxa"/>
            <w:vAlign w:val="center"/>
          </w:tcPr>
          <w:p w14:paraId="75235B2A">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70.9</w:t>
            </w:r>
          </w:p>
        </w:tc>
        <w:tc>
          <w:tcPr>
            <w:tcW w:w="1166" w:type="dxa"/>
            <w:vAlign w:val="center"/>
          </w:tcPr>
          <w:p w14:paraId="5602CA7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73.2</w:t>
            </w:r>
          </w:p>
        </w:tc>
        <w:tc>
          <w:tcPr>
            <w:tcW w:w="1166" w:type="dxa"/>
            <w:vAlign w:val="center"/>
          </w:tcPr>
          <w:p w14:paraId="41E1C8D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71.7</w:t>
            </w:r>
          </w:p>
        </w:tc>
        <w:tc>
          <w:tcPr>
            <w:tcW w:w="1603" w:type="dxa"/>
            <w:vAlign w:val="center"/>
          </w:tcPr>
          <w:p w14:paraId="734381C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71.9</w:t>
            </w:r>
          </w:p>
        </w:tc>
        <w:tc>
          <w:tcPr>
            <w:tcW w:w="1089" w:type="dxa"/>
            <w:vAlign w:val="center"/>
          </w:tcPr>
          <w:p w14:paraId="6EB825F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71.9%</w:t>
            </w:r>
          </w:p>
        </w:tc>
      </w:tr>
      <w:tr w14:paraId="27F1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2795" w:type="dxa"/>
            <w:vAlign w:val="center"/>
          </w:tcPr>
          <w:p w14:paraId="2544932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PSA：150mg，C18：150mg，MgSO</w:t>
            </w:r>
            <w:r>
              <w:rPr>
                <w:rFonts w:hint="eastAsia" w:ascii="仿宋_GB2312" w:hAnsi="仿宋_GB2312" w:eastAsia="仿宋_GB2312" w:cs="仿宋_GB2312"/>
                <w:b w:val="0"/>
                <w:bCs w:val="0"/>
                <w:sz w:val="24"/>
                <w:szCs w:val="24"/>
                <w:vertAlign w:val="subscript"/>
                <w:lang w:val="en-US" w:eastAsia="zh-CN"/>
              </w:rPr>
              <w:t>4</w:t>
            </w:r>
            <w:r>
              <w:rPr>
                <w:rFonts w:hint="eastAsia" w:ascii="仿宋_GB2312" w:hAnsi="仿宋_GB2312" w:eastAsia="仿宋_GB2312" w:cs="仿宋_GB2312"/>
                <w:b w:val="0"/>
                <w:bCs w:val="0"/>
                <w:sz w:val="24"/>
                <w:szCs w:val="24"/>
                <w:vertAlign w:val="baseline"/>
                <w:lang w:val="en-US" w:eastAsia="zh-CN"/>
              </w:rPr>
              <w:t>：500mg</w:t>
            </w:r>
          </w:p>
        </w:tc>
        <w:tc>
          <w:tcPr>
            <w:tcW w:w="1166" w:type="dxa"/>
            <w:vAlign w:val="center"/>
          </w:tcPr>
          <w:p w14:paraId="3884BE5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74.5</w:t>
            </w:r>
          </w:p>
        </w:tc>
        <w:tc>
          <w:tcPr>
            <w:tcW w:w="1166" w:type="dxa"/>
            <w:vAlign w:val="center"/>
          </w:tcPr>
          <w:p w14:paraId="5261182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73.6</w:t>
            </w:r>
          </w:p>
        </w:tc>
        <w:tc>
          <w:tcPr>
            <w:tcW w:w="1166" w:type="dxa"/>
            <w:vAlign w:val="center"/>
          </w:tcPr>
          <w:p w14:paraId="40A5DEE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73.9</w:t>
            </w:r>
          </w:p>
        </w:tc>
        <w:tc>
          <w:tcPr>
            <w:tcW w:w="1603" w:type="dxa"/>
            <w:vAlign w:val="center"/>
          </w:tcPr>
          <w:p w14:paraId="27EB60C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74.0 </w:t>
            </w:r>
          </w:p>
        </w:tc>
        <w:tc>
          <w:tcPr>
            <w:tcW w:w="1089" w:type="dxa"/>
            <w:vAlign w:val="center"/>
          </w:tcPr>
          <w:p w14:paraId="726ECE9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74.0%</w:t>
            </w:r>
          </w:p>
        </w:tc>
      </w:tr>
    </w:tbl>
    <w:p w14:paraId="352272BF">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根据表</w:t>
      </w:r>
      <w:r>
        <w:rPr>
          <w:rFonts w:hint="eastAsia" w:ascii="仿宋_GB2312" w:hAnsi="仿宋_GB2312" w:eastAsia="仿宋_GB2312" w:cs="仿宋_GB2312"/>
          <w:b w:val="0"/>
          <w:bCs w:val="0"/>
          <w:kern w:val="2"/>
          <w:sz w:val="32"/>
          <w:szCs w:val="32"/>
          <w:lang w:val="en-US" w:eastAsia="zh-CN" w:bidi="ar-SA"/>
        </w:rPr>
        <w:t>4</w:t>
      </w:r>
      <w:r>
        <w:rPr>
          <w:rFonts w:hint="default" w:ascii="仿宋_GB2312" w:hAnsi="仿宋_GB2312" w:eastAsia="仿宋_GB2312" w:cs="仿宋_GB2312"/>
          <w:b w:val="0"/>
          <w:bCs w:val="0"/>
          <w:kern w:val="2"/>
          <w:sz w:val="32"/>
          <w:szCs w:val="32"/>
          <w:lang w:val="en-US" w:eastAsia="zh-CN" w:bidi="ar-SA"/>
        </w:rPr>
        <w:t>和表</w:t>
      </w:r>
      <w:r>
        <w:rPr>
          <w:rFonts w:hint="eastAsia" w:ascii="仿宋_GB2312" w:hAnsi="仿宋_GB2312" w:eastAsia="仿宋_GB2312" w:cs="仿宋_GB2312"/>
          <w:b w:val="0"/>
          <w:bCs w:val="0"/>
          <w:kern w:val="2"/>
          <w:sz w:val="32"/>
          <w:szCs w:val="32"/>
          <w:lang w:val="en-US" w:eastAsia="zh-CN" w:bidi="ar-SA"/>
        </w:rPr>
        <w:t>5</w:t>
      </w:r>
      <w:r>
        <w:rPr>
          <w:rFonts w:hint="default" w:ascii="仿宋_GB2312" w:hAnsi="仿宋_GB2312" w:eastAsia="仿宋_GB2312" w:cs="仿宋_GB2312"/>
          <w:b w:val="0"/>
          <w:bCs w:val="0"/>
          <w:kern w:val="2"/>
          <w:sz w:val="32"/>
          <w:szCs w:val="32"/>
          <w:lang w:val="en-US" w:eastAsia="zh-CN" w:bidi="ar-SA"/>
        </w:rPr>
        <w:t>看出分别增加PSA、C18和MgSO4对榴莲净化后的回收率影响不大，结合两种基质最优的净化方式，最终选择C18：150mg，MgSO4：300mg作为净化剂。</w:t>
      </w:r>
    </w:p>
    <w:p w14:paraId="02FDAF26">
      <w:pPr>
        <w:numPr>
          <w:ilvl w:val="0"/>
          <w:numId w:val="0"/>
        </w:numPr>
        <w:ind w:firstLine="643"/>
        <w:rPr>
          <w:rFonts w:hint="eastAsia" w:ascii="仿宋_GB2312" w:hAnsi="仿宋_GB2312" w:cs="仿宋_GB2312"/>
          <w:b/>
          <w:bCs/>
          <w:kern w:val="2"/>
          <w:sz w:val="32"/>
          <w:szCs w:val="32"/>
          <w:lang w:val="en-US" w:eastAsia="zh-CN" w:bidi="ar-SA"/>
        </w:rPr>
      </w:pPr>
      <w:bookmarkStart w:id="2" w:name="_Toc230602465"/>
      <w:r>
        <w:rPr>
          <w:rFonts w:hint="eastAsia" w:ascii="仿宋_GB2312" w:hAnsi="仿宋_GB2312" w:cs="仿宋_GB2312"/>
          <w:b/>
          <w:bCs/>
          <w:kern w:val="2"/>
          <w:sz w:val="32"/>
          <w:szCs w:val="32"/>
          <w:lang w:val="en-US" w:eastAsia="zh-CN" w:bidi="ar-SA"/>
        </w:rPr>
        <w:t>4.3仪器参考条件</w:t>
      </w:r>
      <w:bookmarkEnd w:id="2"/>
    </w:p>
    <w:p w14:paraId="5934F6A1">
      <w:pPr>
        <w:pStyle w:val="45"/>
        <w:keepNext w:val="0"/>
        <w:keepLines w:val="0"/>
        <w:pageBreakBefore w:val="0"/>
        <w:widowControl w:val="0"/>
        <w:numPr>
          <w:ilvl w:val="3"/>
          <w:numId w:val="0"/>
        </w:numPr>
        <w:kinsoku/>
        <w:wordWrap/>
        <w:overflowPunct/>
        <w:topLinePunct w:val="0"/>
        <w:autoSpaceDE/>
        <w:autoSpaceDN/>
        <w:bidi w:val="0"/>
        <w:adjustRightInd/>
        <w:snapToGrid/>
        <w:ind w:leftChars="0"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（1）液相色谱参考条件为：</w:t>
      </w:r>
    </w:p>
    <w:p w14:paraId="5FE676AD">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色谱柱：Shim-pack GISS C18，2.1×100 mm，1.9µm，或性能相当者；</w:t>
      </w:r>
    </w:p>
    <w:p w14:paraId="2763A2D1">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柱温：40 ℃；</w:t>
      </w:r>
    </w:p>
    <w:p w14:paraId="3469E8D8">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进样量：2 µL；</w:t>
      </w:r>
    </w:p>
    <w:p w14:paraId="5E1673CB">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流速：0.3 mL/min；</w:t>
      </w:r>
    </w:p>
    <w:p w14:paraId="1E651DF9">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流动相：A相为0.1％甲酸水溶液（含5 mmol/L乙酸铵），B相为乙腈，梯度洗脱详见表6。</w:t>
      </w:r>
    </w:p>
    <w:p w14:paraId="283B8A2A">
      <w:pPr>
        <w:pStyle w:val="42"/>
        <w:keepNext w:val="0"/>
        <w:keepLines w:val="0"/>
        <w:pageBreakBefore w:val="0"/>
        <w:widowControl/>
        <w:numPr>
          <w:ilvl w:val="0"/>
          <w:numId w:val="0"/>
        </w:numPr>
        <w:kinsoku/>
        <w:wordWrap/>
        <w:overflowPunct/>
        <w:topLinePunct w:val="0"/>
        <w:autoSpaceDE/>
        <w:autoSpaceDN/>
        <w:bidi w:val="0"/>
        <w:adjustRightInd/>
        <w:snapToGrid/>
        <w:spacing w:beforeLines="0" w:afterLines="0"/>
        <w:ind w:left="0" w:leftChars="0" w:firstLine="0" w:firstLineChars="0"/>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i w:val="0"/>
          <w:kern w:val="2"/>
          <w:sz w:val="28"/>
          <w:szCs w:val="28"/>
          <w:lang w:val="en-US" w:eastAsia="zh-CN" w:bidi="ar-SA"/>
        </w:rPr>
        <w:t>表6　</w:t>
      </w:r>
      <w:r>
        <w:rPr>
          <w:rFonts w:hint="eastAsia" w:ascii="仿宋_GB2312" w:hAnsi="仿宋_GB2312" w:eastAsia="仿宋_GB2312" w:cs="仿宋_GB2312"/>
          <w:b w:val="0"/>
          <w:bCs w:val="0"/>
          <w:kern w:val="2"/>
          <w:sz w:val="28"/>
          <w:szCs w:val="28"/>
          <w:lang w:val="en-US" w:eastAsia="zh-CN" w:bidi="ar-SA"/>
        </w:rPr>
        <w:t>流动相组成及梯度洗脱程序</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8"/>
        <w:gridCol w:w="3059"/>
        <w:gridCol w:w="3057"/>
      </w:tblGrid>
      <w:tr w14:paraId="76C76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67" w:type="pct"/>
            <w:vAlign w:val="center"/>
          </w:tcPr>
          <w:p w14:paraId="0F30234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bookmarkStart w:id="3" w:name="OLE_LINK3"/>
            <w:bookmarkStart w:id="4" w:name="OLE_LINK4"/>
            <w:r>
              <w:rPr>
                <w:rFonts w:hint="eastAsia" w:ascii="仿宋_GB2312" w:hAnsi="仿宋_GB2312" w:eastAsia="仿宋_GB2312" w:cs="仿宋_GB2312"/>
                <w:sz w:val="24"/>
                <w:szCs w:val="24"/>
              </w:rPr>
              <w:t>梯度时间/min</w:t>
            </w:r>
          </w:p>
        </w:tc>
        <w:tc>
          <w:tcPr>
            <w:tcW w:w="1667" w:type="pct"/>
            <w:vAlign w:val="center"/>
          </w:tcPr>
          <w:p w14:paraId="44C6599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流动相A/％</w:t>
            </w:r>
          </w:p>
        </w:tc>
        <w:tc>
          <w:tcPr>
            <w:tcW w:w="1666" w:type="pct"/>
            <w:vAlign w:val="center"/>
          </w:tcPr>
          <w:p w14:paraId="08671CC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流动相B/％</w:t>
            </w:r>
          </w:p>
        </w:tc>
      </w:tr>
      <w:tr w14:paraId="5358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67" w:type="pct"/>
            <w:vAlign w:val="center"/>
          </w:tcPr>
          <w:p w14:paraId="5AA746B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0</w:t>
            </w:r>
          </w:p>
        </w:tc>
        <w:tc>
          <w:tcPr>
            <w:tcW w:w="1667" w:type="pct"/>
            <w:vAlign w:val="center"/>
          </w:tcPr>
          <w:p w14:paraId="5E5135F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80</w:t>
            </w:r>
          </w:p>
        </w:tc>
        <w:tc>
          <w:tcPr>
            <w:tcW w:w="1666" w:type="pct"/>
            <w:vAlign w:val="center"/>
          </w:tcPr>
          <w:p w14:paraId="6C8F5FB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14:paraId="405D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67" w:type="pct"/>
            <w:vAlign w:val="center"/>
          </w:tcPr>
          <w:p w14:paraId="7BECD00F">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c>
          <w:tcPr>
            <w:tcW w:w="1667" w:type="pct"/>
            <w:vAlign w:val="center"/>
          </w:tcPr>
          <w:p w14:paraId="46F6CFE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1666" w:type="pct"/>
            <w:vAlign w:val="center"/>
          </w:tcPr>
          <w:p w14:paraId="0591AB1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90</w:t>
            </w:r>
          </w:p>
        </w:tc>
      </w:tr>
      <w:tr w14:paraId="1A72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67" w:type="pct"/>
            <w:vAlign w:val="center"/>
          </w:tcPr>
          <w:p w14:paraId="6C50864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5.1</w:t>
            </w:r>
          </w:p>
        </w:tc>
        <w:tc>
          <w:tcPr>
            <w:tcW w:w="1667" w:type="pct"/>
            <w:vAlign w:val="center"/>
          </w:tcPr>
          <w:p w14:paraId="683B2D8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80</w:t>
            </w:r>
          </w:p>
        </w:tc>
        <w:tc>
          <w:tcPr>
            <w:tcW w:w="1666" w:type="pct"/>
            <w:vAlign w:val="center"/>
          </w:tcPr>
          <w:p w14:paraId="414F4E11">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14:paraId="28739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67" w:type="pct"/>
            <w:vAlign w:val="center"/>
          </w:tcPr>
          <w:p w14:paraId="401C462F">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7.0</w:t>
            </w:r>
          </w:p>
        </w:tc>
        <w:tc>
          <w:tcPr>
            <w:tcW w:w="1667" w:type="pct"/>
            <w:vAlign w:val="center"/>
          </w:tcPr>
          <w:p w14:paraId="17BD4FB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80</w:t>
            </w:r>
          </w:p>
        </w:tc>
        <w:tc>
          <w:tcPr>
            <w:tcW w:w="1666" w:type="pct"/>
            <w:vAlign w:val="center"/>
          </w:tcPr>
          <w:p w14:paraId="54A7123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bookmarkEnd w:id="3"/>
      <w:bookmarkEnd w:id="4"/>
    </w:tbl>
    <w:p w14:paraId="766D9E18">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为得到良好的峰型，采用以下几种流动相进行试验：</w:t>
      </w:r>
      <w:r>
        <w:rPr>
          <w:rFonts w:hint="default" w:ascii="仿宋_GB2312" w:hAnsi="仿宋_GB2312" w:eastAsia="仿宋_GB2312" w:cs="仿宋_GB2312"/>
          <w:b w:val="0"/>
          <w:bCs w:val="0"/>
          <w:kern w:val="2"/>
          <w:sz w:val="32"/>
          <w:szCs w:val="32"/>
          <w:lang w:val="en-US" w:eastAsia="zh-CN" w:bidi="ar-SA"/>
        </w:rPr>
        <w:t>0.1%甲酸水溶液（含2 mmol/L乙酸铵）-乙腈、5mmol/L乙酸铵-乙腈、0.1%甲酸水溶液（含5mmol/L乙酸铵）-甲醇</w:t>
      </w:r>
      <w:r>
        <w:rPr>
          <w:rFonts w:hint="eastAsia" w:ascii="仿宋_GB2312" w:hAnsi="仿宋_GB2312" w:eastAsia="仿宋_GB2312" w:cs="仿宋_GB2312"/>
          <w:b w:val="0"/>
          <w:bCs w:val="0"/>
          <w:kern w:val="2"/>
          <w:sz w:val="32"/>
          <w:szCs w:val="32"/>
          <w:lang w:val="en-US" w:eastAsia="zh-CN" w:bidi="ar-SA"/>
        </w:rPr>
        <w:t>、0.1%甲酸水溶液（含2mmol/L乙酸铵）-甲醇和0.1%甲酸水溶液（含5mmol/L乙酸铵）-乙腈，</w:t>
      </w:r>
      <w:r>
        <w:rPr>
          <w:rFonts w:hint="default" w:ascii="仿宋_GB2312" w:hAnsi="仿宋_GB2312" w:eastAsia="仿宋_GB2312" w:cs="仿宋_GB2312"/>
          <w:b w:val="0"/>
          <w:bCs w:val="0"/>
          <w:kern w:val="2"/>
          <w:sz w:val="32"/>
          <w:szCs w:val="32"/>
          <w:lang w:val="en-US" w:eastAsia="zh-CN" w:bidi="ar-SA"/>
        </w:rPr>
        <w:t>结果见图1至图</w:t>
      </w:r>
      <w:r>
        <w:rPr>
          <w:rFonts w:hint="eastAsia" w:ascii="仿宋_GB2312" w:hAnsi="仿宋_GB2312" w:eastAsia="仿宋_GB2312" w:cs="仿宋_GB2312"/>
          <w:b w:val="0"/>
          <w:bCs w:val="0"/>
          <w:kern w:val="2"/>
          <w:sz w:val="32"/>
          <w:szCs w:val="32"/>
          <w:lang w:val="en-US" w:eastAsia="zh-CN" w:bidi="ar-SA"/>
        </w:rPr>
        <w:t>5</w:t>
      </w:r>
      <w:r>
        <w:rPr>
          <w:rFonts w:hint="default" w:ascii="仿宋_GB2312" w:hAnsi="仿宋_GB2312" w:eastAsia="仿宋_GB2312" w:cs="仿宋_GB2312"/>
          <w:b w:val="0"/>
          <w:bCs w:val="0"/>
          <w:kern w:val="2"/>
          <w:sz w:val="32"/>
          <w:szCs w:val="32"/>
          <w:lang w:val="en-US" w:eastAsia="zh-CN" w:bidi="ar-SA"/>
        </w:rPr>
        <w:t>。</w:t>
      </w:r>
    </w:p>
    <w:p w14:paraId="1F7BFB6F">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sz w:val="21"/>
          <w:szCs w:val="21"/>
          <w:lang w:val="en-US" w:eastAsia="zh-CN"/>
        </w:rPr>
      </w:pPr>
    </w:p>
    <w:p w14:paraId="4704D6CF">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default" w:ascii="Times New Roman" w:hAnsi="Times New Roman" w:eastAsia="宋体" w:cs="Times New Roman"/>
          <w:i w:val="0"/>
          <w:iCs w:val="0"/>
          <w:color w:val="000000"/>
          <w:kern w:val="0"/>
          <w:sz w:val="22"/>
          <w:szCs w:val="22"/>
          <w:u w:val="none"/>
          <w:lang w:val="en-US" w:eastAsia="zh-CN" w:bidi="ar"/>
        </w:rPr>
      </w:pPr>
      <w:r>
        <w:drawing>
          <wp:inline distT="0" distB="0" distL="114300" distR="114300">
            <wp:extent cx="1638300" cy="1337310"/>
            <wp:effectExtent l="0" t="0" r="0" b="1524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srcRect t="1127"/>
                    <a:stretch>
                      <a:fillRect/>
                    </a:stretch>
                  </pic:blipFill>
                  <pic:spPr>
                    <a:xfrm>
                      <a:off x="0" y="0"/>
                      <a:ext cx="1638300" cy="1337310"/>
                    </a:xfrm>
                    <a:prstGeom prst="rect">
                      <a:avLst/>
                    </a:prstGeom>
                    <a:noFill/>
                    <a:ln>
                      <a:noFill/>
                    </a:ln>
                  </pic:spPr>
                </pic:pic>
              </a:graphicData>
            </a:graphic>
          </wp:inline>
        </w:drawing>
      </w:r>
    </w:p>
    <w:p w14:paraId="5F064B11">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_GB2312" w:hAnsi="仿宋_GB2312" w:eastAsia="仿宋_GB2312" w:cs="仿宋_GB2312"/>
          <w:b w:val="0"/>
          <w:bCs w:val="0"/>
          <w:sz w:val="22"/>
          <w:szCs w:val="22"/>
          <w:lang w:val="en-US" w:eastAsia="zh-CN"/>
        </w:rPr>
      </w:pPr>
      <w:r>
        <w:rPr>
          <w:rFonts w:hint="eastAsia" w:ascii="仿宋_GB2312" w:hAnsi="仿宋_GB2312" w:eastAsia="仿宋_GB2312" w:cs="仿宋_GB2312"/>
          <w:b w:val="0"/>
          <w:bCs w:val="0"/>
          <w:sz w:val="22"/>
          <w:szCs w:val="22"/>
          <w:lang w:val="en-US" w:eastAsia="zh-CN"/>
        </w:rPr>
        <w:t>图1 采用流动相0.1%甲酸水溶液（含2 mmol/L乙酸铵）-乙腈时碱性嫩黄O的质谱峰型</w:t>
      </w:r>
    </w:p>
    <w:p w14:paraId="03767712">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default" w:ascii="Times New Roman" w:hAnsi="Times New Roman" w:eastAsia="宋体" w:cs="Times New Roman"/>
          <w:b w:val="0"/>
          <w:bCs w:val="0"/>
          <w:sz w:val="21"/>
          <w:szCs w:val="21"/>
          <w:lang w:val="en-US" w:eastAsia="zh-CN"/>
        </w:rPr>
      </w:pPr>
      <w:r>
        <w:drawing>
          <wp:inline distT="0" distB="0" distL="114300" distR="114300">
            <wp:extent cx="1724025" cy="1343025"/>
            <wp:effectExtent l="0" t="0" r="9525" b="952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3"/>
                    <a:stretch>
                      <a:fillRect/>
                    </a:stretch>
                  </pic:blipFill>
                  <pic:spPr>
                    <a:xfrm>
                      <a:off x="0" y="0"/>
                      <a:ext cx="1724025" cy="1343025"/>
                    </a:xfrm>
                    <a:prstGeom prst="rect">
                      <a:avLst/>
                    </a:prstGeom>
                    <a:noFill/>
                    <a:ln>
                      <a:noFill/>
                    </a:ln>
                  </pic:spPr>
                </pic:pic>
              </a:graphicData>
            </a:graphic>
          </wp:inline>
        </w:drawing>
      </w:r>
    </w:p>
    <w:p w14:paraId="686DB1A4">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val="0"/>
          <w:sz w:val="22"/>
          <w:szCs w:val="22"/>
          <w:lang w:val="en-US" w:eastAsia="zh-CN"/>
        </w:rPr>
      </w:pPr>
      <w:r>
        <w:rPr>
          <w:rFonts w:hint="eastAsia" w:ascii="仿宋_GB2312" w:hAnsi="仿宋_GB2312" w:eastAsia="仿宋_GB2312" w:cs="仿宋_GB2312"/>
          <w:b w:val="0"/>
          <w:bCs w:val="0"/>
          <w:sz w:val="22"/>
          <w:szCs w:val="22"/>
          <w:lang w:val="en-US" w:eastAsia="zh-CN"/>
        </w:rPr>
        <w:t>图2 采用流动相5mmol/L乙酸铵-乙腈时碱性嫩黄O的质谱峰型</w:t>
      </w:r>
    </w:p>
    <w:p w14:paraId="5383EF7F">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pPr>
      <w:r>
        <w:drawing>
          <wp:inline distT="0" distB="0" distL="114300" distR="114300">
            <wp:extent cx="1771650" cy="1323975"/>
            <wp:effectExtent l="0" t="0" r="0" b="952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4"/>
                    <a:stretch>
                      <a:fillRect/>
                    </a:stretch>
                  </pic:blipFill>
                  <pic:spPr>
                    <a:xfrm>
                      <a:off x="0" y="0"/>
                      <a:ext cx="1771650" cy="1323975"/>
                    </a:xfrm>
                    <a:prstGeom prst="rect">
                      <a:avLst/>
                    </a:prstGeom>
                    <a:noFill/>
                    <a:ln>
                      <a:noFill/>
                    </a:ln>
                  </pic:spPr>
                </pic:pic>
              </a:graphicData>
            </a:graphic>
          </wp:inline>
        </w:drawing>
      </w:r>
    </w:p>
    <w:p w14:paraId="755C5156">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val="0"/>
          <w:bCs w:val="0"/>
          <w:sz w:val="22"/>
          <w:szCs w:val="22"/>
          <w:lang w:val="en-US" w:eastAsia="zh-CN"/>
        </w:rPr>
      </w:pPr>
      <w:r>
        <w:rPr>
          <w:rFonts w:hint="eastAsia" w:ascii="仿宋_GB2312" w:hAnsi="仿宋_GB2312" w:eastAsia="仿宋_GB2312" w:cs="仿宋_GB2312"/>
          <w:b w:val="0"/>
          <w:bCs w:val="0"/>
          <w:sz w:val="22"/>
          <w:szCs w:val="22"/>
          <w:lang w:val="en-US" w:eastAsia="zh-CN"/>
        </w:rPr>
        <w:t>图3 采用流动相0.1%甲酸水溶液（含5mmol/L乙酸铵）-甲醇时碱性嫩黄O的质谱峰型</w:t>
      </w:r>
    </w:p>
    <w:p w14:paraId="5EB74207">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pPr>
      <w:r>
        <w:drawing>
          <wp:inline distT="0" distB="0" distL="114300" distR="114300">
            <wp:extent cx="1762125" cy="1304925"/>
            <wp:effectExtent l="0" t="0" r="9525" b="952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5"/>
                    <a:stretch>
                      <a:fillRect/>
                    </a:stretch>
                  </pic:blipFill>
                  <pic:spPr>
                    <a:xfrm>
                      <a:off x="0" y="0"/>
                      <a:ext cx="1762125" cy="1304925"/>
                    </a:xfrm>
                    <a:prstGeom prst="rect">
                      <a:avLst/>
                    </a:prstGeom>
                    <a:noFill/>
                    <a:ln>
                      <a:noFill/>
                    </a:ln>
                  </pic:spPr>
                </pic:pic>
              </a:graphicData>
            </a:graphic>
          </wp:inline>
        </w:drawing>
      </w:r>
    </w:p>
    <w:p w14:paraId="390AEFDF">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_GB2312" w:hAnsi="仿宋_GB2312" w:eastAsia="仿宋_GB2312" w:cs="仿宋_GB2312"/>
          <w:b w:val="0"/>
          <w:bCs w:val="0"/>
          <w:sz w:val="22"/>
          <w:szCs w:val="22"/>
          <w:lang w:val="en-US" w:eastAsia="zh-CN"/>
        </w:rPr>
      </w:pPr>
      <w:r>
        <w:rPr>
          <w:rFonts w:hint="eastAsia" w:ascii="仿宋_GB2312" w:hAnsi="仿宋_GB2312" w:eastAsia="仿宋_GB2312" w:cs="仿宋_GB2312"/>
          <w:b w:val="0"/>
          <w:bCs w:val="0"/>
          <w:sz w:val="22"/>
          <w:szCs w:val="22"/>
          <w:lang w:val="en-US" w:eastAsia="zh-CN"/>
        </w:rPr>
        <w:t>图4 采用流动相0.1%甲酸水溶液（含2mmol/L乙酸铵）-甲醇时碱性嫩黄O的质谱峰型</w:t>
      </w:r>
    </w:p>
    <w:p w14:paraId="43B656B2">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val="0"/>
          <w:bCs w:val="0"/>
          <w:sz w:val="21"/>
          <w:szCs w:val="21"/>
          <w:lang w:val="en-US" w:eastAsia="zh-CN"/>
        </w:rPr>
      </w:pPr>
      <w:r>
        <w:drawing>
          <wp:inline distT="0" distB="0" distL="114300" distR="114300">
            <wp:extent cx="1743075" cy="1352550"/>
            <wp:effectExtent l="0" t="0" r="9525"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6"/>
                    <a:stretch>
                      <a:fillRect/>
                    </a:stretch>
                  </pic:blipFill>
                  <pic:spPr>
                    <a:xfrm>
                      <a:off x="0" y="0"/>
                      <a:ext cx="1743075" cy="1352550"/>
                    </a:xfrm>
                    <a:prstGeom prst="rect">
                      <a:avLst/>
                    </a:prstGeom>
                    <a:noFill/>
                    <a:ln>
                      <a:noFill/>
                    </a:ln>
                  </pic:spPr>
                </pic:pic>
              </a:graphicData>
            </a:graphic>
          </wp:inline>
        </w:drawing>
      </w:r>
    </w:p>
    <w:p w14:paraId="123E1B9D">
      <w:pPr>
        <w:pStyle w:val="2"/>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_GB2312" w:hAnsi="仿宋_GB2312" w:eastAsia="仿宋_GB2312" w:cs="仿宋_GB2312"/>
          <w:b w:val="0"/>
          <w:bCs w:val="0"/>
          <w:sz w:val="22"/>
          <w:szCs w:val="22"/>
          <w:lang w:val="en-US" w:eastAsia="zh-CN"/>
        </w:rPr>
      </w:pPr>
      <w:r>
        <w:rPr>
          <w:rFonts w:hint="eastAsia" w:ascii="仿宋_GB2312" w:hAnsi="仿宋_GB2312" w:eastAsia="仿宋_GB2312" w:cs="仿宋_GB2312"/>
          <w:b w:val="0"/>
          <w:bCs w:val="0"/>
          <w:sz w:val="22"/>
          <w:szCs w:val="22"/>
          <w:lang w:val="en-US" w:eastAsia="zh-CN"/>
        </w:rPr>
        <w:t>图5 采用流动相0.1%甲酸水溶液（含5mmol/L乙酸铵）-乙腈时碱性嫩黄O的质谱峰型</w:t>
      </w:r>
    </w:p>
    <w:p w14:paraId="1F05FC14">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由上图</w:t>
      </w:r>
      <w:r>
        <w:rPr>
          <w:rFonts w:hint="default" w:ascii="仿宋_GB2312" w:hAnsi="仿宋_GB2312" w:eastAsia="仿宋_GB2312" w:cs="仿宋_GB2312"/>
          <w:b w:val="0"/>
          <w:bCs w:val="0"/>
          <w:kern w:val="2"/>
          <w:sz w:val="32"/>
          <w:szCs w:val="32"/>
          <w:lang w:val="en-US" w:eastAsia="zh-CN" w:bidi="ar-SA"/>
        </w:rPr>
        <w:t>可见</w:t>
      </w:r>
      <w:r>
        <w:rPr>
          <w:rFonts w:hint="eastAsia" w:ascii="仿宋_GB2312" w:hAnsi="仿宋_GB2312" w:eastAsia="仿宋_GB2312" w:cs="仿宋_GB2312"/>
          <w:b w:val="0"/>
          <w:bCs w:val="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0.1%甲酸水溶液（含5mmol/L乙酸铵）-</w:t>
      </w:r>
      <w:r>
        <w:rPr>
          <w:rFonts w:hint="eastAsia" w:ascii="仿宋_GB2312" w:hAnsi="仿宋_GB2312" w:eastAsia="仿宋_GB2312" w:cs="仿宋_GB2312"/>
          <w:b w:val="0"/>
          <w:bCs w:val="0"/>
          <w:kern w:val="2"/>
          <w:sz w:val="32"/>
          <w:szCs w:val="32"/>
          <w:lang w:val="en-US" w:eastAsia="zh-CN" w:bidi="ar-SA"/>
        </w:rPr>
        <w:t>乙腈作为流动相时，</w:t>
      </w:r>
      <w:r>
        <w:rPr>
          <w:rFonts w:hint="default" w:ascii="仿宋_GB2312" w:hAnsi="仿宋_GB2312" w:eastAsia="仿宋_GB2312" w:cs="仿宋_GB2312"/>
          <w:b w:val="0"/>
          <w:bCs w:val="0"/>
          <w:kern w:val="2"/>
          <w:sz w:val="32"/>
          <w:szCs w:val="32"/>
          <w:lang w:val="en-US" w:eastAsia="zh-CN" w:bidi="ar-SA"/>
        </w:rPr>
        <w:t>各</w:t>
      </w:r>
      <w:r>
        <w:rPr>
          <w:rFonts w:hint="eastAsia" w:ascii="仿宋_GB2312" w:hAnsi="仿宋_GB2312" w:eastAsia="仿宋_GB2312" w:cs="仿宋_GB2312"/>
          <w:b w:val="0"/>
          <w:bCs w:val="0"/>
          <w:kern w:val="2"/>
          <w:sz w:val="32"/>
          <w:szCs w:val="32"/>
          <w:lang w:val="en-US" w:eastAsia="zh-CN" w:bidi="ar-SA"/>
        </w:rPr>
        <w:t>碱性嫩黄O</w:t>
      </w:r>
      <w:r>
        <w:rPr>
          <w:rFonts w:hint="default" w:ascii="仿宋_GB2312" w:hAnsi="仿宋_GB2312" w:eastAsia="仿宋_GB2312" w:cs="仿宋_GB2312"/>
          <w:b w:val="0"/>
          <w:bCs w:val="0"/>
          <w:kern w:val="2"/>
          <w:sz w:val="32"/>
          <w:szCs w:val="32"/>
          <w:lang w:val="en-US" w:eastAsia="zh-CN" w:bidi="ar-SA"/>
        </w:rPr>
        <w:t>的质谱峰不分叉</w:t>
      </w:r>
      <w:r>
        <w:rPr>
          <w:rFonts w:hint="eastAsia" w:ascii="仿宋_GB2312" w:hAnsi="仿宋_GB2312" w:eastAsia="仿宋_GB2312" w:cs="仿宋_GB2312"/>
          <w:b w:val="0"/>
          <w:bCs w:val="0"/>
          <w:kern w:val="2"/>
          <w:sz w:val="32"/>
          <w:szCs w:val="32"/>
          <w:lang w:val="en-US" w:eastAsia="zh-CN" w:bidi="ar-SA"/>
        </w:rPr>
        <w:t>也不</w:t>
      </w:r>
      <w:r>
        <w:rPr>
          <w:rFonts w:hint="default" w:ascii="仿宋_GB2312" w:hAnsi="仿宋_GB2312" w:eastAsia="仿宋_GB2312" w:cs="仿宋_GB2312"/>
          <w:b w:val="0"/>
          <w:bCs w:val="0"/>
          <w:kern w:val="2"/>
          <w:sz w:val="32"/>
          <w:szCs w:val="32"/>
          <w:lang w:val="en-US" w:eastAsia="zh-CN" w:bidi="ar-SA"/>
        </w:rPr>
        <w:t>拖尾</w:t>
      </w:r>
      <w:r>
        <w:rPr>
          <w:rFonts w:hint="eastAsia" w:ascii="仿宋_GB2312" w:hAnsi="仿宋_GB2312" w:eastAsia="仿宋_GB2312" w:cs="仿宋_GB2312"/>
          <w:b w:val="0"/>
          <w:bCs w:val="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峰形较好</w:t>
      </w:r>
      <w:r>
        <w:rPr>
          <w:rFonts w:hint="eastAsia" w:ascii="仿宋_GB2312" w:hAnsi="仿宋_GB2312" w:eastAsia="仿宋_GB2312" w:cs="仿宋_GB2312"/>
          <w:b w:val="0"/>
          <w:bCs w:val="0"/>
          <w:kern w:val="2"/>
          <w:sz w:val="32"/>
          <w:szCs w:val="32"/>
          <w:lang w:val="en-US" w:eastAsia="zh-CN" w:bidi="ar-SA"/>
        </w:rPr>
        <w:t>，且同时考虑样品提取剂为乙腈，为了避免溶剂效应，</w:t>
      </w:r>
      <w:r>
        <w:rPr>
          <w:rFonts w:hint="default" w:ascii="仿宋_GB2312" w:hAnsi="仿宋_GB2312" w:eastAsia="仿宋_GB2312" w:cs="仿宋_GB2312"/>
          <w:b w:val="0"/>
          <w:bCs w:val="0"/>
          <w:kern w:val="2"/>
          <w:sz w:val="32"/>
          <w:szCs w:val="32"/>
          <w:lang w:val="en-US" w:eastAsia="zh-CN" w:bidi="ar-SA"/>
        </w:rPr>
        <w:t>本文采用0.1%甲酸水溶液（含5mmol/L乙酸铵）-</w:t>
      </w:r>
      <w:r>
        <w:rPr>
          <w:rFonts w:hint="eastAsia" w:ascii="仿宋_GB2312" w:hAnsi="仿宋_GB2312" w:eastAsia="仿宋_GB2312" w:cs="仿宋_GB2312"/>
          <w:b w:val="0"/>
          <w:bCs w:val="0"/>
          <w:kern w:val="2"/>
          <w:sz w:val="32"/>
          <w:szCs w:val="32"/>
          <w:lang w:val="en-US" w:eastAsia="zh-CN" w:bidi="ar-SA"/>
        </w:rPr>
        <w:t>乙腈作为流动相</w:t>
      </w:r>
      <w:r>
        <w:rPr>
          <w:rFonts w:hint="default" w:ascii="仿宋_GB2312" w:hAnsi="仿宋_GB2312" w:eastAsia="仿宋_GB2312" w:cs="仿宋_GB2312"/>
          <w:b w:val="0"/>
          <w:bCs w:val="0"/>
          <w:kern w:val="2"/>
          <w:sz w:val="32"/>
          <w:szCs w:val="32"/>
          <w:lang w:val="en-US" w:eastAsia="zh-CN" w:bidi="ar-SA"/>
        </w:rPr>
        <w:t>。</w:t>
      </w:r>
    </w:p>
    <w:p w14:paraId="76B33173">
      <w:pPr>
        <w:pStyle w:val="45"/>
        <w:keepNext w:val="0"/>
        <w:keepLines w:val="0"/>
        <w:pageBreakBefore w:val="0"/>
        <w:widowControl w:val="0"/>
        <w:numPr>
          <w:ilvl w:val="3"/>
          <w:numId w:val="0"/>
        </w:numPr>
        <w:kinsoku/>
        <w:wordWrap/>
        <w:overflowPunct/>
        <w:topLinePunct w:val="0"/>
        <w:autoSpaceDE/>
        <w:autoSpaceDN/>
        <w:bidi w:val="0"/>
        <w:adjustRightInd/>
        <w:snapToGrid/>
        <w:ind w:leftChars="0"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（2）质谱参考条件为：</w:t>
      </w:r>
    </w:p>
    <w:p w14:paraId="537CF8DF">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离子源：ESI；</w:t>
      </w:r>
    </w:p>
    <w:p w14:paraId="7C6452A8">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扫描模式：MRM；</w:t>
      </w:r>
    </w:p>
    <w:p w14:paraId="2FC3FA75">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雾化气流量：3 L/min；</w:t>
      </w:r>
    </w:p>
    <w:p w14:paraId="0C6C2510">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加热气流量：10 L/min；</w:t>
      </w:r>
    </w:p>
    <w:p w14:paraId="2BD68006">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接口温度：300 ℃；</w:t>
      </w:r>
    </w:p>
    <w:p w14:paraId="5EFA3C45">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脱溶剂温度：526 ℃；</w:t>
      </w:r>
    </w:p>
    <w:p w14:paraId="40E717F4">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DL温度：220 ℃；</w:t>
      </w:r>
    </w:p>
    <w:p w14:paraId="7C8ED343">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加热块温度：400 ℃；</w:t>
      </w:r>
    </w:p>
    <w:p w14:paraId="0E4BB990">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干燥气流量：10 L/min； </w:t>
      </w:r>
    </w:p>
    <w:p w14:paraId="0A1A857C">
      <w:pPr>
        <w:pStyle w:val="4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定性、定量离子对和质谱分析参数见表7。</w:t>
      </w:r>
    </w:p>
    <w:p w14:paraId="367F940E">
      <w:pPr>
        <w:pStyle w:val="42"/>
        <w:keepNext w:val="0"/>
        <w:keepLines w:val="0"/>
        <w:pageBreakBefore w:val="0"/>
        <w:widowControl/>
        <w:numPr>
          <w:ilvl w:val="0"/>
          <w:numId w:val="0"/>
        </w:numPr>
        <w:kinsoku/>
        <w:wordWrap/>
        <w:overflowPunct/>
        <w:topLinePunct w:val="0"/>
        <w:autoSpaceDE/>
        <w:autoSpaceDN/>
        <w:bidi w:val="0"/>
        <w:adjustRightInd/>
        <w:snapToGrid/>
        <w:spacing w:beforeLines="0" w:afterLines="0"/>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val="0"/>
          <w:i w:val="0"/>
          <w:sz w:val="28"/>
          <w:szCs w:val="28"/>
          <w:lang w:val="en-US" w:eastAsia="zh-CN" w:bidi="ar-SA"/>
        </w:rPr>
        <w:t>表7　</w:t>
      </w:r>
      <w:r>
        <w:rPr>
          <w:rFonts w:hint="eastAsia" w:ascii="仿宋_GB2312" w:hAnsi="仿宋_GB2312" w:eastAsia="仿宋_GB2312" w:cs="仿宋_GB2312"/>
          <w:sz w:val="28"/>
          <w:szCs w:val="28"/>
        </w:rPr>
        <w:t>化合物的定性、定量离子对和质谱分析参数</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56" w:type="dxa"/>
          <w:left w:w="96" w:type="dxa"/>
          <w:bottom w:w="56" w:type="dxa"/>
          <w:right w:w="96" w:type="dxa"/>
        </w:tblCellMar>
      </w:tblPr>
      <w:tblGrid>
        <w:gridCol w:w="1402"/>
        <w:gridCol w:w="708"/>
        <w:gridCol w:w="3021"/>
        <w:gridCol w:w="3021"/>
        <w:gridCol w:w="998"/>
      </w:tblGrid>
      <w:tr w14:paraId="43F0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283" w:hRule="atLeast"/>
          <w:jc w:val="center"/>
        </w:trPr>
        <w:tc>
          <w:tcPr>
            <w:tcW w:w="766" w:type="pct"/>
            <w:tcBorders>
              <w:top w:val="single" w:color="auto" w:sz="4" w:space="0"/>
              <w:left w:val="single" w:color="auto" w:sz="4" w:space="0"/>
              <w:bottom w:val="single" w:color="auto" w:sz="4" w:space="0"/>
              <w:right w:val="single" w:color="auto" w:sz="4" w:space="0"/>
            </w:tcBorders>
            <w:shd w:val="clear" w:color="auto" w:fill="auto"/>
            <w:vAlign w:val="center"/>
          </w:tcPr>
          <w:p w14:paraId="6E5DF992">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化合物名称</w:t>
            </w: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2049CDD9">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电离</w:t>
            </w:r>
          </w:p>
          <w:p w14:paraId="6E9E1ABF">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方式</w:t>
            </w:r>
          </w:p>
        </w:tc>
        <w:tc>
          <w:tcPr>
            <w:tcW w:w="1651" w:type="pct"/>
            <w:tcBorders>
              <w:top w:val="single" w:color="auto" w:sz="4" w:space="0"/>
              <w:left w:val="single" w:color="auto" w:sz="4" w:space="0"/>
              <w:bottom w:val="single" w:color="auto" w:sz="4" w:space="0"/>
              <w:right w:val="single" w:color="auto" w:sz="4" w:space="0"/>
            </w:tcBorders>
            <w:shd w:val="clear" w:color="auto" w:fill="auto"/>
            <w:vAlign w:val="center"/>
          </w:tcPr>
          <w:p w14:paraId="6C201B6F">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母离子（前体离子）（m/z）</w:t>
            </w:r>
          </w:p>
        </w:tc>
        <w:tc>
          <w:tcPr>
            <w:tcW w:w="1651" w:type="pct"/>
            <w:tcBorders>
              <w:top w:val="single" w:color="auto" w:sz="4" w:space="0"/>
              <w:left w:val="single" w:color="auto" w:sz="4" w:space="0"/>
              <w:bottom w:val="single" w:color="auto" w:sz="4" w:space="0"/>
              <w:right w:val="single" w:color="auto" w:sz="4" w:space="0"/>
            </w:tcBorders>
            <w:shd w:val="clear" w:color="auto" w:fill="auto"/>
            <w:vAlign w:val="center"/>
          </w:tcPr>
          <w:p w14:paraId="3199E2E1">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子离子（产物离子）（m/z）</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6ECE7D1F">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CE电压</w:t>
            </w:r>
          </w:p>
        </w:tc>
      </w:tr>
      <w:tr w14:paraId="4A30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283" w:hRule="atLeast"/>
          <w:jc w:val="center"/>
        </w:trPr>
        <w:tc>
          <w:tcPr>
            <w:tcW w:w="766" w:type="pct"/>
            <w:vMerge w:val="restart"/>
            <w:tcBorders>
              <w:top w:val="single" w:color="auto" w:sz="4" w:space="0"/>
              <w:left w:val="single" w:color="auto" w:sz="4" w:space="0"/>
              <w:bottom w:val="single" w:color="auto" w:sz="8" w:space="0"/>
              <w:right w:val="single" w:color="auto" w:sz="4" w:space="0"/>
            </w:tcBorders>
            <w:shd w:val="clear" w:color="auto" w:fill="auto"/>
            <w:vAlign w:val="center"/>
          </w:tcPr>
          <w:p w14:paraId="1EC1ADB9">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碱性嫩黄</w:t>
            </w:r>
          </w:p>
        </w:tc>
        <w:tc>
          <w:tcPr>
            <w:tcW w:w="387" w:type="pct"/>
            <w:vMerge w:val="restart"/>
            <w:tcBorders>
              <w:top w:val="single" w:color="auto" w:sz="4" w:space="0"/>
              <w:left w:val="single" w:color="auto" w:sz="4" w:space="0"/>
              <w:bottom w:val="single" w:color="auto" w:sz="8" w:space="0"/>
              <w:right w:val="single" w:color="auto" w:sz="4" w:space="0"/>
            </w:tcBorders>
            <w:shd w:val="clear" w:color="auto" w:fill="auto"/>
            <w:vAlign w:val="center"/>
          </w:tcPr>
          <w:p w14:paraId="01159F0E">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ESI+</w:t>
            </w:r>
          </w:p>
        </w:tc>
        <w:tc>
          <w:tcPr>
            <w:tcW w:w="1651" w:type="pct"/>
            <w:vMerge w:val="restart"/>
            <w:tcBorders>
              <w:top w:val="single" w:color="auto" w:sz="4" w:space="0"/>
              <w:left w:val="single" w:color="auto" w:sz="4" w:space="0"/>
              <w:bottom w:val="single" w:color="auto" w:sz="8" w:space="0"/>
              <w:right w:val="single" w:color="auto" w:sz="4" w:space="0"/>
            </w:tcBorders>
            <w:shd w:val="clear" w:color="auto" w:fill="auto"/>
            <w:vAlign w:val="center"/>
          </w:tcPr>
          <w:p w14:paraId="5158D12B">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267.70</w:t>
            </w:r>
          </w:p>
        </w:tc>
        <w:tc>
          <w:tcPr>
            <w:tcW w:w="1651" w:type="pct"/>
            <w:tcBorders>
              <w:top w:val="single" w:color="auto" w:sz="4" w:space="0"/>
              <w:left w:val="single" w:color="auto" w:sz="4" w:space="0"/>
              <w:bottom w:val="single" w:color="auto" w:sz="4" w:space="0"/>
              <w:right w:val="single" w:color="auto" w:sz="4" w:space="0"/>
            </w:tcBorders>
            <w:shd w:val="clear" w:color="auto" w:fill="auto"/>
            <w:vAlign w:val="center"/>
          </w:tcPr>
          <w:p w14:paraId="2A505671">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147.15a</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45CA5FD9">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-28.0</w:t>
            </w:r>
          </w:p>
        </w:tc>
      </w:tr>
      <w:tr w14:paraId="6D01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283" w:hRule="atLeast"/>
          <w:jc w:val="center"/>
        </w:trPr>
        <w:tc>
          <w:tcPr>
            <w:tcW w:w="766" w:type="pct"/>
            <w:vMerge w:val="continue"/>
            <w:tcBorders>
              <w:top w:val="single" w:color="auto" w:sz="4" w:space="0"/>
              <w:left w:val="single" w:color="auto" w:sz="4" w:space="0"/>
              <w:bottom w:val="single" w:color="auto" w:sz="8" w:space="0"/>
              <w:right w:val="single" w:color="auto" w:sz="4" w:space="0"/>
            </w:tcBorders>
            <w:shd w:val="clear" w:color="auto" w:fill="auto"/>
            <w:vAlign w:val="center"/>
          </w:tcPr>
          <w:p w14:paraId="69DBD170">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default" w:ascii="仿宋_GB2312" w:hAnsi="仿宋_GB2312" w:eastAsia="仿宋_GB2312" w:cs="仿宋_GB2312"/>
                <w:sz w:val="24"/>
                <w:szCs w:val="24"/>
              </w:rPr>
            </w:pPr>
          </w:p>
        </w:tc>
        <w:tc>
          <w:tcPr>
            <w:tcW w:w="387" w:type="pct"/>
            <w:vMerge w:val="continue"/>
            <w:tcBorders>
              <w:top w:val="single" w:color="auto" w:sz="4" w:space="0"/>
              <w:left w:val="single" w:color="auto" w:sz="4" w:space="0"/>
              <w:bottom w:val="single" w:color="auto" w:sz="8" w:space="0"/>
              <w:right w:val="single" w:color="auto" w:sz="4" w:space="0"/>
            </w:tcBorders>
            <w:shd w:val="clear" w:color="auto" w:fill="auto"/>
            <w:vAlign w:val="center"/>
          </w:tcPr>
          <w:p w14:paraId="70EC0BD2">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default" w:ascii="仿宋_GB2312" w:hAnsi="仿宋_GB2312" w:eastAsia="仿宋_GB2312" w:cs="仿宋_GB2312"/>
                <w:sz w:val="24"/>
                <w:szCs w:val="24"/>
              </w:rPr>
            </w:pPr>
          </w:p>
        </w:tc>
        <w:tc>
          <w:tcPr>
            <w:tcW w:w="1651" w:type="pct"/>
            <w:vMerge w:val="continue"/>
            <w:tcBorders>
              <w:top w:val="single" w:color="auto" w:sz="4" w:space="0"/>
              <w:left w:val="single" w:color="auto" w:sz="4" w:space="0"/>
              <w:bottom w:val="single" w:color="auto" w:sz="8" w:space="0"/>
              <w:right w:val="single" w:color="auto" w:sz="4" w:space="0"/>
            </w:tcBorders>
            <w:shd w:val="clear" w:color="auto" w:fill="auto"/>
            <w:vAlign w:val="center"/>
          </w:tcPr>
          <w:p w14:paraId="0FF3C0AD">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default" w:ascii="仿宋_GB2312" w:hAnsi="仿宋_GB2312" w:eastAsia="仿宋_GB2312" w:cs="仿宋_GB2312"/>
                <w:sz w:val="24"/>
                <w:szCs w:val="24"/>
              </w:rPr>
            </w:pPr>
          </w:p>
        </w:tc>
        <w:tc>
          <w:tcPr>
            <w:tcW w:w="1651" w:type="pct"/>
            <w:tcBorders>
              <w:top w:val="single" w:color="auto" w:sz="4" w:space="0"/>
              <w:left w:val="single" w:color="auto" w:sz="4" w:space="0"/>
              <w:bottom w:val="single" w:color="auto" w:sz="8" w:space="0"/>
              <w:right w:val="single" w:color="auto" w:sz="4" w:space="0"/>
            </w:tcBorders>
            <w:shd w:val="clear" w:color="auto" w:fill="auto"/>
            <w:vAlign w:val="center"/>
          </w:tcPr>
          <w:p w14:paraId="25B49EAD">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252.25</w:t>
            </w:r>
          </w:p>
        </w:tc>
        <w:tc>
          <w:tcPr>
            <w:tcW w:w="545" w:type="pct"/>
            <w:tcBorders>
              <w:top w:val="single" w:color="auto" w:sz="4" w:space="0"/>
              <w:left w:val="single" w:color="auto" w:sz="4" w:space="0"/>
              <w:bottom w:val="single" w:color="auto" w:sz="8" w:space="0"/>
              <w:right w:val="single" w:color="auto" w:sz="4" w:space="0"/>
            </w:tcBorders>
            <w:shd w:val="clear" w:color="auto" w:fill="auto"/>
            <w:vAlign w:val="center"/>
          </w:tcPr>
          <w:p w14:paraId="454FA8EB">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-32.0</w:t>
            </w:r>
          </w:p>
        </w:tc>
      </w:tr>
      <w:tr w14:paraId="6379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283" w:hRule="atLeast"/>
          <w:jc w:val="center"/>
        </w:trPr>
        <w:tc>
          <w:tcPr>
            <w:tcW w:w="5000" w:type="pct"/>
            <w:gridSpan w:val="5"/>
            <w:tcBorders>
              <w:top w:val="single" w:color="auto" w:sz="8" w:space="0"/>
              <w:left w:val="single" w:color="auto" w:sz="4" w:space="0"/>
              <w:bottom w:val="single" w:color="auto" w:sz="8" w:space="0"/>
              <w:right w:val="single" w:color="auto" w:sz="4" w:space="0"/>
            </w:tcBorders>
            <w:shd w:val="clear" w:color="auto" w:fill="auto"/>
            <w:vAlign w:val="center"/>
          </w:tcPr>
          <w:p w14:paraId="73FCC466">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sz w:val="24"/>
                <w:szCs w:val="24"/>
                <w:lang w:val="en-US" w:eastAsia="zh-CN"/>
              </w:rPr>
              <w:t>a为定量离子。</w:t>
            </w:r>
          </w:p>
        </w:tc>
      </w:tr>
    </w:tbl>
    <w:p w14:paraId="708DBA7C">
      <w:pPr>
        <w:numPr>
          <w:ilvl w:val="0"/>
          <w:numId w:val="0"/>
        </w:numPr>
        <w:ind w:firstLine="643"/>
        <w:rPr>
          <w:rFonts w:hint="eastAsia" w:ascii="仿宋_GB2312" w:hAnsi="仿宋_GB2312" w:cs="仿宋_GB2312"/>
          <w:b/>
          <w:bCs/>
          <w:kern w:val="2"/>
          <w:sz w:val="32"/>
          <w:szCs w:val="32"/>
          <w:lang w:val="en-US" w:eastAsia="zh-CN" w:bidi="ar-SA"/>
        </w:rPr>
      </w:pPr>
      <w:r>
        <w:rPr>
          <w:rFonts w:hint="eastAsia" w:ascii="仿宋_GB2312" w:hAnsi="仿宋_GB2312" w:cs="仿宋_GB2312"/>
          <w:b/>
          <w:bCs/>
          <w:kern w:val="2"/>
          <w:sz w:val="32"/>
          <w:szCs w:val="32"/>
          <w:lang w:val="en-US" w:eastAsia="zh-CN" w:bidi="ar-SA"/>
        </w:rPr>
        <w:t>4.4标准工作曲线绘制</w:t>
      </w:r>
    </w:p>
    <w:p w14:paraId="5CF3EF0A">
      <w:pPr>
        <w:numPr>
          <w:ilvl w:val="0"/>
          <w:numId w:val="0"/>
        </w:numPr>
        <w:ind w:firstLine="643"/>
        <w:rPr>
          <w:rFonts w:hint="eastAsia" w:ascii="仿宋_GB2312" w:hAnsi="仿宋_GB2312" w:cs="仿宋_GB2312"/>
          <w:b w:val="0"/>
          <w:bCs w:val="0"/>
          <w:kern w:val="2"/>
          <w:sz w:val="32"/>
          <w:szCs w:val="32"/>
          <w:lang w:val="en-US" w:eastAsia="zh-CN" w:bidi="ar-SA"/>
        </w:rPr>
      </w:pPr>
      <w:r>
        <w:rPr>
          <w:rFonts w:hint="eastAsia" w:ascii="仿宋_GB2312" w:hAnsi="仿宋_GB2312" w:cs="仿宋_GB2312"/>
          <w:b w:val="0"/>
          <w:bCs w:val="0"/>
          <w:kern w:val="2"/>
          <w:sz w:val="32"/>
          <w:szCs w:val="32"/>
          <w:lang w:val="en-US" w:eastAsia="zh-CN" w:bidi="ar-SA"/>
        </w:rPr>
        <w:t>将标准系列工作液分别注入液相色谱-串联质谱仪中，测定相应的峰面积，以标准系列工作液中目标化合物的浓度为横坐标，以定量离子色谱峰的峰面积为纵坐标，绘制标准曲线。</w:t>
      </w:r>
    </w:p>
    <w:p w14:paraId="56001BED">
      <w:pPr>
        <w:numPr>
          <w:ilvl w:val="0"/>
          <w:numId w:val="0"/>
        </w:numPr>
        <w:ind w:firstLine="643"/>
        <w:rPr>
          <w:rFonts w:hint="default" w:ascii="仿宋_GB2312" w:hAnsi="仿宋_GB2312" w:cs="仿宋_GB2312"/>
          <w:b/>
          <w:bCs/>
          <w:kern w:val="2"/>
          <w:sz w:val="32"/>
          <w:szCs w:val="32"/>
          <w:lang w:val="en-US" w:eastAsia="zh-CN" w:bidi="ar-SA"/>
        </w:rPr>
      </w:pPr>
      <w:r>
        <w:rPr>
          <w:rFonts w:hint="eastAsia" w:ascii="仿宋_GB2312" w:hAnsi="仿宋_GB2312" w:cs="仿宋_GB2312"/>
          <w:b/>
          <w:bCs/>
          <w:kern w:val="2"/>
          <w:sz w:val="32"/>
          <w:szCs w:val="32"/>
          <w:lang w:val="en-US" w:eastAsia="zh-CN" w:bidi="ar-SA"/>
        </w:rPr>
        <w:t>4.5</w:t>
      </w:r>
      <w:r>
        <w:rPr>
          <w:rFonts w:hint="default" w:ascii="仿宋_GB2312" w:hAnsi="仿宋_GB2312" w:cs="仿宋_GB2312"/>
          <w:b/>
          <w:bCs/>
          <w:kern w:val="2"/>
          <w:sz w:val="32"/>
          <w:szCs w:val="32"/>
          <w:lang w:val="en-US" w:eastAsia="zh-CN" w:bidi="ar-SA"/>
        </w:rPr>
        <w:t>定性确认</w:t>
      </w:r>
    </w:p>
    <w:p w14:paraId="11F8D8E5">
      <w:pPr>
        <w:numPr>
          <w:ilvl w:val="0"/>
          <w:numId w:val="0"/>
        </w:numPr>
        <w:ind w:firstLine="643"/>
        <w:rPr>
          <w:rFonts w:hint="default" w:ascii="仿宋_GB2312" w:hAnsi="仿宋_GB2312" w:cs="仿宋_GB2312"/>
          <w:b w:val="0"/>
          <w:bCs w:val="0"/>
          <w:kern w:val="2"/>
          <w:sz w:val="32"/>
          <w:szCs w:val="32"/>
          <w:lang w:val="en-US" w:eastAsia="zh-CN" w:bidi="ar-SA"/>
        </w:rPr>
      </w:pPr>
      <w:r>
        <w:rPr>
          <w:rFonts w:hint="default" w:ascii="仿宋_GB2312" w:hAnsi="仿宋_GB2312" w:cs="仿宋_GB2312"/>
          <w:b w:val="0"/>
          <w:bCs w:val="0"/>
          <w:kern w:val="2"/>
          <w:sz w:val="32"/>
          <w:szCs w:val="32"/>
          <w:lang w:val="en-US" w:eastAsia="zh-CN" w:bidi="ar-SA"/>
        </w:rPr>
        <w:t>在相同试验条件下，试样中被测组分的保留时间与标准溶液中对应的保留时间偏差在±2.5％之内；且试样中被测组分定性离子的相对丰度与浓度接近的标准溶液中对应的定性离子的相对丰度进行比较，偏差不超过表</w:t>
      </w:r>
      <w:r>
        <w:rPr>
          <w:rFonts w:hint="eastAsia" w:ascii="仿宋_GB2312" w:hAnsi="仿宋_GB2312" w:cs="仿宋_GB2312"/>
          <w:b w:val="0"/>
          <w:bCs w:val="0"/>
          <w:kern w:val="2"/>
          <w:sz w:val="32"/>
          <w:szCs w:val="32"/>
          <w:lang w:val="en-US" w:eastAsia="zh-CN" w:bidi="ar-SA"/>
        </w:rPr>
        <w:t>8</w:t>
      </w:r>
      <w:r>
        <w:rPr>
          <w:rFonts w:hint="default" w:ascii="仿宋_GB2312" w:hAnsi="仿宋_GB2312" w:cs="仿宋_GB2312"/>
          <w:b w:val="0"/>
          <w:bCs w:val="0"/>
          <w:kern w:val="2"/>
          <w:sz w:val="32"/>
          <w:szCs w:val="32"/>
          <w:lang w:val="en-US" w:eastAsia="zh-CN" w:bidi="ar-SA"/>
        </w:rPr>
        <w:t>规定的范围，则可判定为试样中存在对应的化合物。</w:t>
      </w:r>
    </w:p>
    <w:p w14:paraId="7B0F8180">
      <w:pPr>
        <w:pStyle w:val="42"/>
        <w:numPr>
          <w:ilvl w:val="0"/>
          <w:numId w:val="0"/>
        </w:numPr>
        <w:spacing w:before="120" w:after="120"/>
        <w:ind w:left="0" w:leftChars="0" w:firstLine="0" w:firstLineChars="0"/>
        <w:rPr>
          <w:rFonts w:hint="eastAsia" w:ascii="仿宋_GB2312" w:hAnsi="仿宋_GB2312" w:eastAsia="仿宋_GB2312" w:cs="仿宋_GB2312"/>
          <w:b w:val="0"/>
          <w:i w:val="0"/>
          <w:sz w:val="28"/>
          <w:szCs w:val="28"/>
          <w:lang w:val="en-US" w:eastAsia="zh-CN" w:bidi="ar-SA"/>
        </w:rPr>
      </w:pPr>
    </w:p>
    <w:p w14:paraId="63347451">
      <w:pPr>
        <w:pStyle w:val="42"/>
        <w:numPr>
          <w:ilvl w:val="0"/>
          <w:numId w:val="0"/>
        </w:numPr>
        <w:spacing w:before="120" w:after="120"/>
        <w:ind w:left="0" w:leftChars="0" w:firstLine="0" w:firstLineChars="0"/>
        <w:rPr>
          <w:rFonts w:hint="eastAsia" w:ascii="仿宋_GB2312" w:hAnsi="仿宋_GB2312" w:eastAsia="仿宋_GB2312" w:cs="仿宋_GB2312"/>
          <w:b w:val="0"/>
          <w:i w:val="0"/>
          <w:sz w:val="28"/>
          <w:szCs w:val="28"/>
          <w:lang w:val="en-US" w:eastAsia="zh-CN" w:bidi="ar-SA"/>
        </w:rPr>
      </w:pPr>
    </w:p>
    <w:p w14:paraId="21977C56">
      <w:pPr>
        <w:pStyle w:val="42"/>
        <w:numPr>
          <w:ilvl w:val="0"/>
          <w:numId w:val="0"/>
        </w:numPr>
        <w:spacing w:before="120" w:after="120"/>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b w:val="0"/>
          <w:i w:val="0"/>
          <w:sz w:val="28"/>
          <w:szCs w:val="28"/>
          <w:lang w:val="en-US" w:eastAsia="zh-CN" w:bidi="ar-SA"/>
        </w:rPr>
        <w:t>表8　</w:t>
      </w:r>
      <w:r>
        <w:rPr>
          <w:rFonts w:hint="eastAsia" w:ascii="仿宋_GB2312" w:hAnsi="仿宋_GB2312" w:eastAsia="仿宋_GB2312" w:cs="仿宋_GB2312"/>
          <w:sz w:val="28"/>
          <w:szCs w:val="28"/>
        </w:rPr>
        <w:t>定性确证时相对离子丰度的最大允许偏差</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4"/>
        <w:gridCol w:w="1835"/>
        <w:gridCol w:w="1835"/>
        <w:gridCol w:w="1835"/>
        <w:gridCol w:w="1835"/>
      </w:tblGrid>
      <w:tr w14:paraId="1217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vAlign w:val="center"/>
          </w:tcPr>
          <w:p w14:paraId="4B89A231">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相对丰度（基峰）</w:t>
            </w:r>
          </w:p>
        </w:tc>
        <w:tc>
          <w:tcPr>
            <w:tcW w:w="1000" w:type="pct"/>
            <w:vAlign w:val="center"/>
          </w:tcPr>
          <w:p w14:paraId="7A201F6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c>
          <w:tcPr>
            <w:tcW w:w="1000" w:type="pct"/>
            <w:vAlign w:val="center"/>
          </w:tcPr>
          <w:p w14:paraId="3D62421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＞20％至50％</w:t>
            </w:r>
          </w:p>
        </w:tc>
        <w:tc>
          <w:tcPr>
            <w:tcW w:w="1000" w:type="pct"/>
            <w:vAlign w:val="center"/>
          </w:tcPr>
          <w:p w14:paraId="7D8EF7E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＞10％至20％</w:t>
            </w:r>
          </w:p>
        </w:tc>
        <w:tc>
          <w:tcPr>
            <w:tcW w:w="1000" w:type="pct"/>
            <w:vAlign w:val="center"/>
          </w:tcPr>
          <w:p w14:paraId="70CA0B1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r>
      <w:tr w14:paraId="6072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pct"/>
            <w:vAlign w:val="center"/>
          </w:tcPr>
          <w:p w14:paraId="331E8B5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允许相对偏差</w:t>
            </w:r>
          </w:p>
        </w:tc>
        <w:tc>
          <w:tcPr>
            <w:tcW w:w="1000" w:type="pct"/>
            <w:vAlign w:val="center"/>
          </w:tcPr>
          <w:p w14:paraId="35D4F66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c>
          <w:tcPr>
            <w:tcW w:w="1000" w:type="pct"/>
            <w:vAlign w:val="center"/>
          </w:tcPr>
          <w:p w14:paraId="45FEA1A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±25％</w:t>
            </w:r>
          </w:p>
        </w:tc>
        <w:tc>
          <w:tcPr>
            <w:tcW w:w="1000" w:type="pct"/>
            <w:vAlign w:val="center"/>
          </w:tcPr>
          <w:p w14:paraId="548CF071">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±30％</w:t>
            </w:r>
          </w:p>
        </w:tc>
        <w:tc>
          <w:tcPr>
            <w:tcW w:w="1000" w:type="pct"/>
            <w:vAlign w:val="center"/>
          </w:tcPr>
          <w:p w14:paraId="3DF0F84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bl>
    <w:p w14:paraId="7A055AA7">
      <w:pPr>
        <w:numPr>
          <w:ilvl w:val="0"/>
          <w:numId w:val="0"/>
        </w:numPr>
        <w:ind w:firstLine="643"/>
        <w:rPr>
          <w:rFonts w:hint="default" w:ascii="仿宋_GB2312" w:hAnsi="仿宋_GB2312" w:cs="仿宋_GB2312"/>
          <w:b/>
          <w:bCs/>
          <w:kern w:val="2"/>
          <w:sz w:val="32"/>
          <w:szCs w:val="32"/>
          <w:lang w:val="en-US" w:eastAsia="zh-CN" w:bidi="ar-SA"/>
        </w:rPr>
      </w:pPr>
      <w:r>
        <w:rPr>
          <w:rFonts w:hint="eastAsia" w:ascii="仿宋_GB2312" w:hAnsi="仿宋_GB2312" w:cs="仿宋_GB2312"/>
          <w:b/>
          <w:bCs/>
          <w:kern w:val="2"/>
          <w:sz w:val="32"/>
          <w:szCs w:val="32"/>
          <w:lang w:val="en-US" w:eastAsia="zh-CN" w:bidi="ar-SA"/>
        </w:rPr>
        <w:t>4.6</w:t>
      </w:r>
      <w:r>
        <w:rPr>
          <w:rFonts w:hint="default" w:ascii="仿宋_GB2312" w:hAnsi="仿宋_GB2312" w:cs="仿宋_GB2312"/>
          <w:b/>
          <w:bCs/>
          <w:kern w:val="2"/>
          <w:sz w:val="32"/>
          <w:szCs w:val="32"/>
          <w:lang w:val="en-US" w:eastAsia="zh-CN" w:bidi="ar-SA"/>
        </w:rPr>
        <w:t>定量测定</w:t>
      </w:r>
    </w:p>
    <w:p w14:paraId="4517B39D">
      <w:pPr>
        <w:numPr>
          <w:ilvl w:val="0"/>
          <w:numId w:val="0"/>
        </w:numPr>
        <w:ind w:firstLine="643"/>
        <w:rPr>
          <w:rFonts w:hint="default" w:ascii="仿宋_GB2312" w:hAnsi="仿宋_GB2312" w:cs="仿宋_GB2312"/>
          <w:b w:val="0"/>
          <w:bCs w:val="0"/>
          <w:kern w:val="2"/>
          <w:sz w:val="32"/>
          <w:szCs w:val="32"/>
          <w:lang w:val="en-US" w:eastAsia="zh-CN" w:bidi="ar-SA"/>
        </w:rPr>
      </w:pPr>
      <w:r>
        <w:rPr>
          <w:rFonts w:hint="default" w:ascii="仿宋_GB2312" w:hAnsi="仿宋_GB2312" w:cs="仿宋_GB2312"/>
          <w:b w:val="0"/>
          <w:bCs w:val="0"/>
          <w:kern w:val="2"/>
          <w:sz w:val="32"/>
          <w:szCs w:val="32"/>
          <w:lang w:val="en-US" w:eastAsia="zh-CN" w:bidi="ar-SA"/>
        </w:rPr>
        <w:t>将标准工作溶液和试样溶液注入液相色谱-串联质谱仪中，用标准工作曲线计算试样溶液中被测组分的浓度。被测物的响应值应在仪器检测的线性范围内，如果含量超过标准曲线范围，应当稀释到标准曲线范围内进行检测。</w:t>
      </w:r>
    </w:p>
    <w:p w14:paraId="29161FE3">
      <w:pPr>
        <w:numPr>
          <w:ilvl w:val="0"/>
          <w:numId w:val="0"/>
        </w:numPr>
        <w:ind w:firstLine="643"/>
        <w:rPr>
          <w:rFonts w:hint="eastAsia" w:ascii="仿宋_GB2312" w:hAnsi="仿宋_GB2312" w:eastAsia="仿宋_GB2312" w:cs="仿宋_GB2312"/>
          <w:b/>
          <w:bCs/>
          <w:kern w:val="2"/>
          <w:sz w:val="32"/>
          <w:szCs w:val="32"/>
          <w:lang w:val="en-US" w:eastAsia="zh-CN" w:bidi="ar-SA"/>
        </w:rPr>
      </w:pPr>
      <w:r>
        <w:rPr>
          <w:rFonts w:hint="eastAsia" w:ascii="仿宋_GB2312" w:hAnsi="仿宋_GB2312" w:cs="仿宋_GB2312"/>
          <w:b/>
          <w:bCs/>
          <w:kern w:val="2"/>
          <w:sz w:val="32"/>
          <w:szCs w:val="32"/>
          <w:lang w:val="en-US" w:eastAsia="zh-CN" w:bidi="ar-SA"/>
        </w:rPr>
        <w:t>4.7</w:t>
      </w:r>
      <w:r>
        <w:rPr>
          <w:rFonts w:hint="eastAsia" w:ascii="仿宋_GB2312" w:hAnsi="仿宋_GB2312" w:eastAsia="仿宋_GB2312" w:cs="仿宋_GB2312"/>
          <w:b/>
          <w:bCs/>
          <w:kern w:val="2"/>
          <w:sz w:val="32"/>
          <w:szCs w:val="32"/>
          <w:lang w:val="en-US" w:eastAsia="zh-CN" w:bidi="ar-SA"/>
        </w:rPr>
        <w:t>空白试验</w:t>
      </w:r>
      <w:r>
        <w:rPr>
          <w:rFonts w:hint="eastAsia" w:ascii="仿宋_GB2312" w:hAnsi="仿宋_GB2312" w:cs="仿宋_GB2312"/>
          <w:b/>
          <w:bCs/>
          <w:kern w:val="2"/>
          <w:sz w:val="32"/>
          <w:szCs w:val="32"/>
          <w:lang w:val="en-US" w:eastAsia="zh-CN" w:bidi="ar-SA"/>
        </w:rPr>
        <w:t>、</w:t>
      </w:r>
      <w:r>
        <w:rPr>
          <w:rFonts w:hint="eastAsia" w:ascii="仿宋_GB2312" w:hAnsi="仿宋_GB2312" w:eastAsia="仿宋_GB2312" w:cs="仿宋_GB2312"/>
          <w:b/>
          <w:bCs/>
          <w:kern w:val="2"/>
          <w:sz w:val="32"/>
          <w:szCs w:val="32"/>
          <w:lang w:val="en-US" w:eastAsia="zh-CN" w:bidi="ar-SA"/>
        </w:rPr>
        <w:t>平行试验</w:t>
      </w:r>
    </w:p>
    <w:p w14:paraId="264E854A">
      <w:pPr>
        <w:numPr>
          <w:ilvl w:val="0"/>
          <w:numId w:val="0"/>
        </w:numPr>
        <w:ind w:firstLine="64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空白试验目的是监控整个分析过程中是否存在来自试剂、器皿、环境或仪器的污染。由于碱性嫩黄O染色力极强，通过空白试验，可以判断检测结果是否真实反映了样品中的含量，若空白检出目标物，则需排查污染源并重新检测。</w:t>
      </w:r>
    </w:p>
    <w:p w14:paraId="3CED82EF">
      <w:pPr>
        <w:numPr>
          <w:ilvl w:val="0"/>
          <w:numId w:val="0"/>
        </w:numPr>
        <w:ind w:firstLine="64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平行试验目的是评估检测方法的精密度和重复性。通过对同一份样品（或同批次样品）的两份独立试液分别进行全流程测定，计算相对偏差，可以检验操作的一致性。若两份结果偏差在允许范围内，说明检测过程稳定、结果可信。</w:t>
      </w:r>
    </w:p>
    <w:p w14:paraId="2A8BCDB0">
      <w:pPr>
        <w:numPr>
          <w:ilvl w:val="0"/>
          <w:numId w:val="0"/>
        </w:numPr>
        <w:ind w:firstLine="643"/>
        <w:rPr>
          <w:rFonts w:hint="default" w:ascii="仿宋_GB2312" w:hAnsi="仿宋_GB2312" w:cs="仿宋_GB2312"/>
          <w:b/>
          <w:bCs/>
          <w:szCs w:val="32"/>
          <w:lang w:val="en-US"/>
        </w:rPr>
      </w:pPr>
      <w:r>
        <w:rPr>
          <w:rFonts w:hint="eastAsia" w:ascii="仿宋_GB2312" w:hAnsi="仿宋_GB2312" w:eastAsia="仿宋_GB2312" w:cs="仿宋_GB2312"/>
          <w:b/>
          <w:bCs/>
          <w:kern w:val="2"/>
          <w:sz w:val="32"/>
          <w:szCs w:val="32"/>
          <w:lang w:val="en-US" w:eastAsia="zh-CN" w:bidi="ar-SA"/>
        </w:rPr>
        <w:t>(五）</w:t>
      </w:r>
      <w:r>
        <w:rPr>
          <w:rFonts w:hint="eastAsia" w:ascii="仿宋_GB2312" w:hAnsi="仿宋_GB2312" w:cs="仿宋_GB2312"/>
          <w:b/>
          <w:bCs/>
          <w:kern w:val="2"/>
          <w:sz w:val="32"/>
          <w:szCs w:val="32"/>
          <w:lang w:val="en-US" w:eastAsia="zh-CN" w:bidi="ar-SA"/>
        </w:rPr>
        <w:t>结果计算</w:t>
      </w:r>
    </w:p>
    <w:p w14:paraId="5821AE32">
      <w:pPr>
        <w:numPr>
          <w:ilvl w:val="0"/>
          <w:numId w:val="0"/>
        </w:numPr>
        <w:ind w:firstLine="64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试样中被测组分的含量按</w:t>
      </w:r>
      <w:r>
        <w:rPr>
          <w:rFonts w:hint="eastAsia" w:ascii="仿宋_GB2312" w:hAnsi="仿宋_GB2312" w:cs="仿宋_GB2312"/>
          <w:b w:val="0"/>
          <w:bCs w:val="0"/>
          <w:kern w:val="2"/>
          <w:sz w:val="32"/>
          <w:szCs w:val="32"/>
          <w:lang w:val="en-US" w:eastAsia="zh-CN" w:bidi="ar-SA"/>
        </w:rPr>
        <w:t>下</w:t>
      </w:r>
      <w:r>
        <w:rPr>
          <w:rFonts w:hint="eastAsia" w:ascii="仿宋_GB2312" w:hAnsi="仿宋_GB2312" w:eastAsia="仿宋_GB2312" w:cs="仿宋_GB2312"/>
          <w:b w:val="0"/>
          <w:bCs w:val="0"/>
          <w:kern w:val="2"/>
          <w:sz w:val="32"/>
          <w:szCs w:val="32"/>
          <w:lang w:val="en-US" w:eastAsia="zh-CN" w:bidi="ar-SA"/>
        </w:rPr>
        <w:t>式计算</w:t>
      </w:r>
      <w:r>
        <w:rPr>
          <w:rFonts w:hint="eastAsia" w:ascii="仿宋_GB2312" w:hAnsi="仿宋_GB2312" w:cs="仿宋_GB2312"/>
          <w:b w:val="0"/>
          <w:bCs w:val="0"/>
          <w:kern w:val="2"/>
          <w:sz w:val="32"/>
          <w:szCs w:val="32"/>
          <w:lang w:val="en-US" w:eastAsia="zh-CN" w:bidi="ar-SA"/>
        </w:rPr>
        <w:t>，榴莲皮和榴莲肉的结果分别出具，结果按GB/T 8170的规定保留3位有效数字</w:t>
      </w:r>
      <w:r>
        <w:rPr>
          <w:rFonts w:hint="eastAsia" w:ascii="仿宋_GB2312" w:hAnsi="仿宋_GB2312" w:eastAsia="仿宋_GB2312" w:cs="仿宋_GB2312"/>
          <w:b w:val="0"/>
          <w:bCs w:val="0"/>
          <w:kern w:val="2"/>
          <w:sz w:val="32"/>
          <w:szCs w:val="32"/>
          <w:lang w:val="en-US" w:eastAsia="zh-CN" w:bidi="ar-SA"/>
        </w:rPr>
        <w:t>：</w:t>
      </w:r>
    </w:p>
    <w:p w14:paraId="63474662">
      <w:pPr>
        <w:numPr>
          <w:ilvl w:val="0"/>
          <w:numId w:val="0"/>
        </w:numPr>
        <w:ind w:firstLine="643"/>
        <w:rPr>
          <w:rFonts w:hAnsi="Cambria Math"/>
          <w:i w:val="0"/>
        </w:rPr>
      </w:pPr>
      <m:oMathPara>
        <m:oMath>
          <m:r>
            <m:rPr/>
            <w:rPr>
              <w:rFonts w:ascii="Cambria Math" w:hAnsi="Cambria Math"/>
            </w:rPr>
            <m:t>X</m:t>
          </m:r>
          <m:r>
            <m:rPr>
              <m:sty m:val="p"/>
            </m:rPr>
            <w:rPr>
              <w:rFonts w:ascii="Cambria Math" w:hAnsi="Cambria Math"/>
            </w:rPr>
            <m:t>=</m:t>
          </m:r>
          <m:f>
            <m:fPr>
              <m:ctrlPr>
                <w:rPr>
                  <w:rFonts w:ascii="Cambria Math" w:hAnsi="Cambria Math"/>
                </w:rPr>
              </m:ctrlPr>
            </m:fPr>
            <m:num>
              <m:r>
                <m:rPr/>
                <w:rPr>
                  <w:rFonts w:ascii="Cambria Math" w:hAnsi="Cambria Math"/>
                </w:rPr>
                <m:t>(ρ−</m:t>
              </m:r>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)×V</m:t>
              </m:r>
              <m:ctrlPr>
                <w:rPr>
                  <w:rFonts w:ascii="Cambria Math" w:hAnsi="Cambria Math"/>
                </w:rPr>
              </m:ctrlPr>
            </m:num>
            <m:den>
              <m:r>
                <m:rPr/>
                <w:rPr>
                  <w:rFonts w:ascii="Cambria Math" w:hAnsi="Cambria Math"/>
                </w:rPr>
                <m:t>m</m:t>
              </m:r>
              <m:ctrlPr>
                <w:rPr>
                  <w:rFonts w:ascii="Cambria Math" w:hAnsi="Cambria Math"/>
                </w:rPr>
              </m:ctrlPr>
            </m:den>
          </m:f>
          <m:r>
            <m:rPr/>
            <w:rPr>
              <w:rFonts w:ascii="Cambria Math" w:hAnsi="Cambria Math"/>
            </w:rPr>
            <m:t>×</m:t>
          </m:r>
          <m:f>
            <m:fPr>
              <m:ctrlPr>
                <w:rPr>
                  <w:rFonts w:ascii="Cambria Math" w:hAnsi="Cambria Math"/>
                  <w:i/>
                </w:rPr>
              </m:ctrlPr>
            </m:fPr>
            <m:num>
              <m:r>
                <m:rPr/>
                <w:rPr>
                  <w:rFonts w:ascii="Cambria Math" w:hAnsi="Cambria Math"/>
                </w:rPr>
                <m:t>1000</m:t>
              </m:r>
              <m:ctrlPr>
                <w:rPr>
                  <w:rFonts w:ascii="Cambria Math" w:hAnsi="Cambria Math"/>
                  <w:i/>
                </w:rPr>
              </m:ctrlPr>
            </m:num>
            <m:den>
              <m:r>
                <m:rPr/>
                <w:rPr>
                  <w:rFonts w:ascii="Cambria Math" w:hAnsi="Cambria Math"/>
                </w:rPr>
                <m:t>1000</m:t>
              </m:r>
              <m:ctrlPr>
                <w:rPr>
                  <w:rFonts w:ascii="Cambria Math" w:hAnsi="Cambria Math"/>
                  <w:i/>
                </w:rPr>
              </m:ctrlPr>
            </m:den>
          </m:f>
          <m:r>
            <m:rPr/>
            <w:rPr>
              <w:rFonts w:ascii="Cambria Math" w:hAnsi="Cambria Math"/>
            </w:rPr>
            <m:t>×f</m:t>
          </m:r>
        </m:oMath>
      </m:oMathPara>
    </w:p>
    <w:p w14:paraId="35605A98">
      <w:pPr>
        <w:numPr>
          <w:ilvl w:val="0"/>
          <w:numId w:val="0"/>
        </w:numPr>
        <w:ind w:firstLine="64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式中：</w:t>
      </w:r>
    </w:p>
    <w:p w14:paraId="65D12F9F">
      <w:pPr>
        <w:numPr>
          <w:ilvl w:val="0"/>
          <w:numId w:val="0"/>
        </w:numPr>
        <w:ind w:firstLine="643"/>
        <w:rPr>
          <w:rFonts w:hint="eastAsia" w:ascii="仿宋_GB2312" w:hAnsi="仿宋_GB2312" w:eastAsia="仿宋_GB2312" w:cs="仿宋_GB2312"/>
          <w:b w:val="0"/>
          <w:bCs w:val="0"/>
          <w:kern w:val="2"/>
          <w:sz w:val="32"/>
          <w:szCs w:val="32"/>
          <w:lang w:val="en-US" w:eastAsia="zh-CN" w:bidi="ar-SA"/>
        </w:rPr>
      </w:pPr>
      <m:oMath>
        <m:r>
          <m:rPr/>
          <w:rPr>
            <w:rFonts w:ascii="Cambria Math" w:hAnsi="Cambria Math"/>
          </w:rPr>
          <m:t>X</m:t>
        </m:r>
      </m:oMath>
      <w:r>
        <w:rPr>
          <w:rFonts w:hint="eastAsia" w:ascii="仿宋_GB2312" w:hAnsi="仿宋_GB2312" w:eastAsia="仿宋_GB2312" w:cs="仿宋_GB2312"/>
          <w:b w:val="0"/>
          <w:bCs w:val="0"/>
          <w:kern w:val="2"/>
          <w:sz w:val="32"/>
          <w:szCs w:val="32"/>
          <w:lang w:val="en-US" w:eastAsia="zh-CN" w:bidi="ar-SA"/>
        </w:rPr>
        <w:t xml:space="preserve">  ——被测组分的含量，单位为微克每千克（μg/kg）；</w:t>
      </w:r>
    </w:p>
    <w:p w14:paraId="7D704A65">
      <w:pPr>
        <w:numPr>
          <w:ilvl w:val="0"/>
          <w:numId w:val="0"/>
        </w:numPr>
        <w:ind w:firstLine="643"/>
        <w:rPr>
          <w:rFonts w:hint="eastAsia" w:ascii="仿宋_GB2312" w:hAnsi="仿宋_GB2312" w:eastAsia="仿宋_GB2312" w:cs="仿宋_GB2312"/>
          <w:b w:val="0"/>
          <w:bCs w:val="0"/>
          <w:kern w:val="2"/>
          <w:sz w:val="32"/>
          <w:szCs w:val="32"/>
          <w:lang w:val="en-US" w:eastAsia="zh-CN" w:bidi="ar-SA"/>
        </w:rPr>
      </w:pPr>
      <m:oMath>
        <m:r>
          <m:rPr/>
          <w:rPr>
            <w:rFonts w:ascii="Cambria Math" w:hAnsi="Cambria Math"/>
          </w:rPr>
          <m:t>ρ</m:t>
        </m:r>
      </m:oMath>
      <w:r>
        <w:rPr>
          <w:rFonts w:hint="eastAsia" w:ascii="仿宋_GB2312" w:hAnsi="仿宋_GB2312" w:eastAsia="仿宋_GB2312" w:cs="仿宋_GB2312"/>
          <w:b w:val="0"/>
          <w:bCs w:val="0"/>
          <w:kern w:val="2"/>
          <w:sz w:val="32"/>
          <w:szCs w:val="32"/>
          <w:lang w:val="en-US" w:eastAsia="zh-CN" w:bidi="ar-SA"/>
        </w:rPr>
        <w:t xml:space="preserve"> ——从标准工作曲线得到的目标化合物的浓度，单位为纳克每毫升（ng/mL）；</w:t>
      </w:r>
    </w:p>
    <w:p w14:paraId="44C5CDC4">
      <w:pPr>
        <w:numPr>
          <w:ilvl w:val="0"/>
          <w:numId w:val="0"/>
        </w:numPr>
        <w:ind w:firstLine="643"/>
        <w:rPr>
          <w:rFonts w:hint="eastAsia" w:ascii="仿宋_GB2312" w:hAnsi="仿宋_GB2312" w:eastAsia="仿宋_GB2312" w:cs="仿宋_GB2312"/>
          <w:b w:val="0"/>
          <w:bCs w:val="0"/>
          <w:kern w:val="2"/>
          <w:sz w:val="32"/>
          <w:szCs w:val="32"/>
          <w:lang w:val="en-US" w:eastAsia="zh-CN" w:bidi="ar-SA"/>
        </w:rPr>
      </w:pPr>
      <m:oMath>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0</m:t>
            </m:r>
            <m:ctrlPr>
              <w:rPr>
                <w:rFonts w:ascii="Cambria Math" w:hAnsi="Cambria Math"/>
                <w:i/>
              </w:rPr>
            </m:ctrlPr>
          </m:sub>
        </m:sSub>
      </m:oMath>
      <w:r>
        <w:rPr>
          <w:rFonts w:hint="eastAsia" w:ascii="仿宋_GB2312" w:hAnsi="仿宋_GB2312" w:cs="仿宋_GB2312"/>
          <w:b w:val="0"/>
          <w:bCs w:val="0"/>
          <w:kern w:val="2"/>
          <w:sz w:val="32"/>
          <w:szCs w:val="32"/>
          <w:vertAlign w:val="subscript"/>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——从标准工作曲线得到空白试验的浓度，单位为纳克每毫升（ng/mL）；</w:t>
      </w:r>
    </w:p>
    <w:p w14:paraId="2127E82A">
      <w:pPr>
        <w:numPr>
          <w:ilvl w:val="0"/>
          <w:numId w:val="0"/>
        </w:numPr>
        <w:ind w:firstLine="643"/>
        <w:rPr>
          <w:rFonts w:hint="eastAsia" w:ascii="仿宋_GB2312" w:hAnsi="仿宋_GB2312" w:eastAsia="仿宋_GB2312" w:cs="仿宋_GB2312"/>
          <w:b w:val="0"/>
          <w:bCs w:val="0"/>
          <w:kern w:val="2"/>
          <w:sz w:val="32"/>
          <w:szCs w:val="32"/>
          <w:lang w:val="en-US" w:eastAsia="zh-CN" w:bidi="ar-SA"/>
        </w:rPr>
      </w:pPr>
      <m:oMath>
        <m:r>
          <m:rPr/>
          <w:rPr>
            <w:rFonts w:ascii="Cambria Math" w:hAnsi="Cambria Math"/>
          </w:rPr>
          <m:t>V</m:t>
        </m:r>
      </m:oMath>
      <w:r>
        <w:rPr>
          <w:rFonts w:hint="eastAsia" w:ascii="仿宋_GB2312" w:hAnsi="仿宋_GB2312" w:eastAsia="仿宋_GB2312" w:cs="仿宋_GB2312"/>
          <w:b w:val="0"/>
          <w:bCs w:val="0"/>
          <w:kern w:val="2"/>
          <w:sz w:val="32"/>
          <w:szCs w:val="32"/>
          <w:lang w:val="en-US" w:eastAsia="zh-CN" w:bidi="ar-SA"/>
        </w:rPr>
        <w:t xml:space="preserve"> ——最终定容体积，单位为毫升（mL）；</w:t>
      </w:r>
    </w:p>
    <w:p w14:paraId="2BDB5016">
      <w:pPr>
        <w:numPr>
          <w:ilvl w:val="0"/>
          <w:numId w:val="0"/>
        </w:numPr>
        <w:ind w:firstLine="643"/>
        <w:rPr>
          <w:rFonts w:hint="eastAsia" w:ascii="仿宋_GB2312" w:hAnsi="仿宋_GB2312" w:eastAsia="仿宋_GB2312" w:cs="仿宋_GB2312"/>
          <w:b w:val="0"/>
          <w:bCs w:val="0"/>
          <w:kern w:val="2"/>
          <w:sz w:val="32"/>
          <w:szCs w:val="32"/>
          <w:lang w:val="en-US" w:eastAsia="zh-CN" w:bidi="ar-SA"/>
        </w:rPr>
      </w:pPr>
      <m:oMath>
        <m:r>
          <m:rPr/>
          <w:rPr>
            <w:rFonts w:ascii="Cambria Math" w:hAnsi="Cambria Math"/>
          </w:rPr>
          <m:t>m</m:t>
        </m:r>
      </m:oMath>
      <w:r>
        <w:rPr>
          <w:rFonts w:hint="eastAsia" w:ascii="仿宋_GB2312" w:hAnsi="仿宋_GB2312" w:eastAsia="仿宋_GB2312" w:cs="仿宋_GB2312"/>
          <w:b w:val="0"/>
          <w:bCs w:val="0"/>
          <w:kern w:val="2"/>
          <w:sz w:val="32"/>
          <w:szCs w:val="32"/>
          <w:lang w:val="en-US" w:eastAsia="zh-CN" w:bidi="ar-SA"/>
        </w:rPr>
        <w:t xml:space="preserve"> ——最终定容体积试样溶液所代表试样的质量，单位为克（g）；</w:t>
      </w:r>
    </w:p>
    <w:p w14:paraId="72C91E3C">
      <w:pPr>
        <w:numPr>
          <w:ilvl w:val="0"/>
          <w:numId w:val="0"/>
        </w:numPr>
        <w:ind w:firstLine="64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f ——稀释倍数。</w:t>
      </w:r>
    </w:p>
    <w:p w14:paraId="463CED6F">
      <w:pPr>
        <w:numPr>
          <w:ilvl w:val="0"/>
          <w:numId w:val="0"/>
        </w:numPr>
        <w:ind w:firstLine="643"/>
        <w:rPr>
          <w:rFonts w:hint="eastAsia" w:ascii="仿宋_GB2312" w:hAnsi="仿宋_GB2312" w:cs="仿宋_GB2312"/>
          <w:b/>
          <w:bCs/>
          <w:szCs w:val="32"/>
        </w:rPr>
      </w:pPr>
      <w:r>
        <w:rPr>
          <w:rFonts w:hint="eastAsia" w:ascii="仿宋_GB2312" w:hAnsi="仿宋_GB2312" w:eastAsia="仿宋_GB2312" w:cs="仿宋_GB2312"/>
          <w:b/>
          <w:bCs/>
          <w:kern w:val="2"/>
          <w:sz w:val="32"/>
          <w:szCs w:val="32"/>
          <w:lang w:val="en-US" w:eastAsia="zh-CN" w:bidi="ar-SA"/>
        </w:rPr>
        <w:t>(六）</w:t>
      </w:r>
      <w:r>
        <w:rPr>
          <w:rFonts w:hint="eastAsia" w:ascii="仿宋_GB2312" w:hAnsi="仿宋_GB2312" w:cs="仿宋_GB2312"/>
          <w:szCs w:val="28"/>
        </w:rPr>
        <w:t>回收率与精密度</w:t>
      </w:r>
    </w:p>
    <w:p w14:paraId="7EFCB6A4">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宋体" w:cs="Times New Roman"/>
          <w:b w:val="0"/>
          <w:bCs w:val="0"/>
          <w:sz w:val="21"/>
          <w:szCs w:val="21"/>
          <w:lang w:val="en-US" w:eastAsia="zh-CN"/>
        </w:rPr>
      </w:pPr>
      <w:r>
        <w:rPr>
          <w:rFonts w:hint="eastAsia" w:ascii="仿宋_GB2312" w:hAnsi="仿宋_GB2312" w:eastAsia="仿宋_GB2312" w:cs="仿宋_GB2312"/>
          <w:b w:val="0"/>
          <w:bCs w:val="0"/>
          <w:kern w:val="2"/>
          <w:sz w:val="32"/>
          <w:szCs w:val="32"/>
          <w:lang w:val="en-US" w:eastAsia="zh-CN" w:bidi="ar-SA"/>
        </w:rPr>
        <w:t>按照步骤称取</w:t>
      </w:r>
      <w:r>
        <w:rPr>
          <w:rFonts w:hint="default" w:ascii="仿宋_GB2312" w:hAnsi="仿宋_GB2312" w:eastAsia="仿宋_GB2312" w:cs="仿宋_GB2312"/>
          <w:b w:val="0"/>
          <w:bCs w:val="0"/>
          <w:kern w:val="2"/>
          <w:sz w:val="32"/>
          <w:szCs w:val="32"/>
          <w:lang w:val="en-US" w:eastAsia="zh-CN" w:bidi="ar-SA"/>
        </w:rPr>
        <w:t>空白样品的榴莲皮和榴莲肉</w:t>
      </w:r>
      <w:r>
        <w:rPr>
          <w:rFonts w:hint="eastAsia" w:ascii="仿宋_GB2312" w:hAnsi="仿宋_GB2312" w:eastAsia="仿宋_GB2312" w:cs="仿宋_GB2312"/>
          <w:b w:val="0"/>
          <w:bCs w:val="0"/>
          <w:kern w:val="2"/>
          <w:sz w:val="32"/>
          <w:szCs w:val="32"/>
          <w:lang w:val="en-US" w:eastAsia="zh-CN" w:bidi="ar-SA"/>
        </w:rPr>
        <w:t>后，在样品</w:t>
      </w:r>
      <w:r>
        <w:rPr>
          <w:rFonts w:hint="default" w:ascii="仿宋_GB2312" w:hAnsi="仿宋_GB2312" w:eastAsia="仿宋_GB2312" w:cs="仿宋_GB2312"/>
          <w:b w:val="0"/>
          <w:bCs w:val="0"/>
          <w:kern w:val="2"/>
          <w:sz w:val="32"/>
          <w:szCs w:val="32"/>
          <w:lang w:val="en-US" w:eastAsia="zh-CN" w:bidi="ar-SA"/>
        </w:rPr>
        <w:t>中加入</w:t>
      </w:r>
      <w:r>
        <w:rPr>
          <w:rFonts w:hint="eastAsia" w:ascii="仿宋_GB2312" w:hAnsi="仿宋_GB2312" w:eastAsia="仿宋_GB2312" w:cs="仿宋_GB2312"/>
          <w:b w:val="0"/>
          <w:bCs w:val="0"/>
          <w:kern w:val="2"/>
          <w:sz w:val="32"/>
          <w:szCs w:val="32"/>
          <w:lang w:val="en-US" w:eastAsia="zh-CN" w:bidi="ar-SA"/>
        </w:rPr>
        <w:t>1</w:t>
      </w:r>
      <w:r>
        <w:rPr>
          <w:rFonts w:hint="default" w:ascii="仿宋_GB2312" w:hAnsi="仿宋_GB2312" w:eastAsia="仿宋_GB2312" w:cs="仿宋_GB2312"/>
          <w:b w:val="0"/>
          <w:bCs w:val="0"/>
          <w:kern w:val="2"/>
          <w:sz w:val="32"/>
          <w:szCs w:val="32"/>
          <w:lang w:val="en-US" w:eastAsia="zh-CN" w:bidi="ar-SA"/>
        </w:rPr>
        <w:t>ng、</w:t>
      </w:r>
      <w:r>
        <w:rPr>
          <w:rFonts w:hint="eastAsia" w:ascii="仿宋_GB2312" w:hAnsi="仿宋_GB2312" w:eastAsia="仿宋_GB2312" w:cs="仿宋_GB2312"/>
          <w:b w:val="0"/>
          <w:bCs w:val="0"/>
          <w:kern w:val="2"/>
          <w:sz w:val="32"/>
          <w:szCs w:val="32"/>
          <w:lang w:val="en-US" w:eastAsia="zh-CN" w:bidi="ar-SA"/>
        </w:rPr>
        <w:t>2</w:t>
      </w:r>
      <w:r>
        <w:rPr>
          <w:rFonts w:hint="default" w:ascii="仿宋_GB2312" w:hAnsi="仿宋_GB2312" w:eastAsia="仿宋_GB2312" w:cs="仿宋_GB2312"/>
          <w:b w:val="0"/>
          <w:bCs w:val="0"/>
          <w:kern w:val="2"/>
          <w:sz w:val="32"/>
          <w:szCs w:val="32"/>
          <w:lang w:val="en-US" w:eastAsia="zh-CN" w:bidi="ar-SA"/>
        </w:rPr>
        <w:t>ng、</w:t>
      </w:r>
      <w:r>
        <w:rPr>
          <w:rFonts w:hint="eastAsia" w:ascii="仿宋_GB2312" w:hAnsi="仿宋_GB2312" w:eastAsia="仿宋_GB2312" w:cs="仿宋_GB2312"/>
          <w:b w:val="0"/>
          <w:bCs w:val="0"/>
          <w:kern w:val="2"/>
          <w:sz w:val="32"/>
          <w:szCs w:val="32"/>
          <w:lang w:val="en-US" w:eastAsia="zh-CN" w:bidi="ar-SA"/>
        </w:rPr>
        <w:t>1</w:t>
      </w:r>
      <w:r>
        <w:rPr>
          <w:rFonts w:hint="default" w:ascii="仿宋_GB2312" w:hAnsi="仿宋_GB2312" w:eastAsia="仿宋_GB2312" w:cs="仿宋_GB2312"/>
          <w:b w:val="0"/>
          <w:bCs w:val="0"/>
          <w:kern w:val="2"/>
          <w:sz w:val="32"/>
          <w:szCs w:val="32"/>
          <w:lang w:val="en-US" w:eastAsia="zh-CN" w:bidi="ar-SA"/>
        </w:rPr>
        <w:t>0ng碱性嫩黄O，</w:t>
      </w:r>
      <w:r>
        <w:rPr>
          <w:rFonts w:hint="eastAsia" w:ascii="仿宋_GB2312" w:hAnsi="仿宋_GB2312" w:eastAsia="仿宋_GB2312" w:cs="仿宋_GB2312"/>
          <w:b w:val="0"/>
          <w:bCs w:val="0"/>
          <w:kern w:val="2"/>
          <w:sz w:val="32"/>
          <w:szCs w:val="32"/>
          <w:lang w:val="en-US" w:eastAsia="zh-CN" w:bidi="ar-SA"/>
        </w:rPr>
        <w:t>然后按照步骤对</w:t>
      </w:r>
      <w:r>
        <w:rPr>
          <w:rFonts w:hint="default" w:ascii="仿宋_GB2312" w:hAnsi="仿宋_GB2312" w:eastAsia="仿宋_GB2312" w:cs="仿宋_GB2312"/>
          <w:b w:val="0"/>
          <w:bCs w:val="0"/>
          <w:kern w:val="2"/>
          <w:sz w:val="32"/>
          <w:szCs w:val="32"/>
          <w:lang w:val="en-US" w:eastAsia="zh-CN" w:bidi="ar-SA"/>
        </w:rPr>
        <w:t>样品进行</w:t>
      </w:r>
      <w:r>
        <w:rPr>
          <w:rFonts w:hint="eastAsia" w:ascii="仿宋_GB2312" w:hAnsi="仿宋_GB2312" w:eastAsia="仿宋_GB2312" w:cs="仿宋_GB2312"/>
          <w:b w:val="0"/>
          <w:bCs w:val="0"/>
          <w:kern w:val="2"/>
          <w:sz w:val="32"/>
          <w:szCs w:val="32"/>
          <w:lang w:val="en-US" w:eastAsia="zh-CN" w:bidi="ar-SA"/>
        </w:rPr>
        <w:t>前处理，</w:t>
      </w:r>
      <w:r>
        <w:rPr>
          <w:rFonts w:hint="default" w:ascii="仿宋_GB2312" w:hAnsi="仿宋_GB2312" w:eastAsia="仿宋_GB2312" w:cs="仿宋_GB2312"/>
          <w:b w:val="0"/>
          <w:bCs w:val="0"/>
          <w:kern w:val="2"/>
          <w:sz w:val="32"/>
          <w:szCs w:val="32"/>
          <w:lang w:val="en-US" w:eastAsia="zh-CN" w:bidi="ar-SA"/>
        </w:rPr>
        <w:t>每个浓度各进行7平行试验，计算其精密度和加标回收率，测定结果如下所示。</w:t>
      </w:r>
    </w:p>
    <w:p w14:paraId="5DA50AAD">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表9 精密度测试结果</w:t>
      </w:r>
    </w:p>
    <w:tbl>
      <w:tblPr>
        <w:tblStyle w:val="7"/>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0" w:type="dxa"/>
          <w:left w:w="64" w:type="dxa"/>
          <w:bottom w:w="40" w:type="dxa"/>
          <w:right w:w="64" w:type="dxa"/>
        </w:tblCellMar>
      </w:tblPr>
      <w:tblGrid>
        <w:gridCol w:w="1415"/>
        <w:gridCol w:w="574"/>
        <w:gridCol w:w="1212"/>
        <w:gridCol w:w="1297"/>
        <w:gridCol w:w="1302"/>
        <w:gridCol w:w="1301"/>
        <w:gridCol w:w="1301"/>
        <w:gridCol w:w="1263"/>
      </w:tblGrid>
      <w:tr w14:paraId="709D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tblHeader/>
          <w:jc w:val="center"/>
        </w:trPr>
        <w:tc>
          <w:tcPr>
            <w:tcW w:w="1989" w:type="dxa"/>
            <w:gridSpan w:val="2"/>
            <w:vMerge w:val="restart"/>
            <w:tcBorders>
              <w:top w:val="single" w:color="auto" w:sz="4" w:space="0"/>
              <w:left w:val="single" w:color="auto" w:sz="4" w:space="0"/>
              <w:bottom w:val="single" w:color="auto" w:sz="4" w:space="0"/>
              <w:right w:val="single" w:color="auto" w:sz="4" w:space="0"/>
            </w:tcBorders>
            <w:vAlign w:val="center"/>
          </w:tcPr>
          <w:p w14:paraId="540F4E3C">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lang w:eastAsia="zh-CN"/>
              </w:rPr>
            </w:pPr>
            <w:r>
              <w:rPr>
                <w:rFonts w:hint="eastAsia" w:ascii="仿宋_GB2312" w:hAnsi="仿宋_GB2312" w:eastAsia="仿宋_GB2312" w:cs="仿宋_GB2312"/>
                <w:b/>
                <w:color w:val="000000"/>
                <w:sz w:val="24"/>
                <w:szCs w:val="24"/>
                <w:lang w:eastAsia="zh-CN"/>
              </w:rPr>
              <w:t>检测指标</w:t>
            </w:r>
          </w:p>
        </w:tc>
        <w:tc>
          <w:tcPr>
            <w:tcW w:w="3811" w:type="dxa"/>
            <w:gridSpan w:val="3"/>
            <w:tcBorders>
              <w:top w:val="single" w:color="auto" w:sz="4" w:space="0"/>
              <w:left w:val="single" w:color="auto" w:sz="4" w:space="0"/>
              <w:bottom w:val="single" w:color="auto" w:sz="4" w:space="0"/>
              <w:right w:val="single" w:color="auto" w:sz="4" w:space="0"/>
            </w:tcBorders>
            <w:vAlign w:val="center"/>
          </w:tcPr>
          <w:p w14:paraId="6A39348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lang w:val="en-US" w:eastAsia="zh-CN"/>
              </w:rPr>
            </w:pPr>
            <w:r>
              <w:rPr>
                <w:rFonts w:hint="eastAsia" w:ascii="仿宋_GB2312" w:hAnsi="仿宋_GB2312" w:eastAsia="仿宋_GB2312" w:cs="仿宋_GB2312"/>
                <w:b/>
                <w:color w:val="000000"/>
                <w:sz w:val="24"/>
                <w:szCs w:val="24"/>
                <w:lang w:val="en-US" w:eastAsia="zh-CN"/>
              </w:rPr>
              <w:t>榴莲皮的碱性嫩黄</w:t>
            </w:r>
          </w:p>
        </w:tc>
        <w:tc>
          <w:tcPr>
            <w:tcW w:w="3865" w:type="dxa"/>
            <w:gridSpan w:val="3"/>
            <w:tcBorders>
              <w:top w:val="single" w:color="auto" w:sz="4" w:space="0"/>
              <w:left w:val="single" w:color="auto" w:sz="4" w:space="0"/>
              <w:bottom w:val="single" w:color="auto" w:sz="4" w:space="0"/>
              <w:right w:val="single" w:color="auto" w:sz="4" w:space="0"/>
            </w:tcBorders>
            <w:vAlign w:val="center"/>
          </w:tcPr>
          <w:p w14:paraId="79FD7710">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lang w:val="en-US" w:eastAsia="zh-CN"/>
              </w:rPr>
            </w:pPr>
            <w:r>
              <w:rPr>
                <w:rFonts w:hint="eastAsia" w:ascii="仿宋_GB2312" w:hAnsi="仿宋_GB2312" w:eastAsia="仿宋_GB2312" w:cs="仿宋_GB2312"/>
                <w:b/>
                <w:color w:val="000000"/>
                <w:sz w:val="24"/>
                <w:szCs w:val="24"/>
                <w:lang w:val="en-US" w:eastAsia="zh-CN"/>
              </w:rPr>
              <w:t>榴莲肉的碱性嫩黄</w:t>
            </w:r>
          </w:p>
        </w:tc>
      </w:tr>
      <w:tr w14:paraId="396D4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tblHeader/>
          <w:jc w:val="center"/>
        </w:trPr>
        <w:tc>
          <w:tcPr>
            <w:tcW w:w="1989" w:type="dxa"/>
            <w:gridSpan w:val="2"/>
            <w:vMerge w:val="continue"/>
            <w:tcBorders>
              <w:top w:val="single" w:color="auto" w:sz="4" w:space="0"/>
              <w:left w:val="single" w:color="auto" w:sz="4" w:space="0"/>
              <w:bottom w:val="single" w:color="auto" w:sz="4" w:space="0"/>
              <w:right w:val="single" w:color="auto" w:sz="4" w:space="0"/>
            </w:tcBorders>
            <w:vAlign w:val="center"/>
          </w:tcPr>
          <w:p w14:paraId="0A0C8BB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lang w:eastAsia="zh-CN"/>
              </w:rPr>
            </w:pPr>
          </w:p>
        </w:tc>
        <w:tc>
          <w:tcPr>
            <w:tcW w:w="1212" w:type="dxa"/>
            <w:tcBorders>
              <w:top w:val="single" w:color="auto" w:sz="4" w:space="0"/>
              <w:left w:val="single" w:color="auto" w:sz="4" w:space="0"/>
              <w:bottom w:val="single" w:color="auto" w:sz="4" w:space="0"/>
              <w:right w:val="single" w:color="auto" w:sz="4" w:space="0"/>
            </w:tcBorders>
            <w:vAlign w:val="center"/>
          </w:tcPr>
          <w:p w14:paraId="1E58F44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lang w:eastAsia="zh-CN"/>
              </w:rPr>
            </w:pPr>
            <w:r>
              <w:rPr>
                <w:rFonts w:hint="eastAsia" w:ascii="仿宋_GB2312" w:hAnsi="仿宋_GB2312" w:eastAsia="仿宋_GB2312" w:cs="仿宋_GB2312"/>
                <w:b/>
                <w:color w:val="000000"/>
                <w:sz w:val="24"/>
                <w:szCs w:val="24"/>
                <w:lang w:eastAsia="zh-CN"/>
              </w:rPr>
              <w:t>低浓度加标</w:t>
            </w:r>
          </w:p>
        </w:tc>
        <w:tc>
          <w:tcPr>
            <w:tcW w:w="1297" w:type="dxa"/>
            <w:tcBorders>
              <w:top w:val="single" w:color="auto" w:sz="4" w:space="0"/>
              <w:left w:val="single" w:color="auto" w:sz="4" w:space="0"/>
              <w:bottom w:val="single" w:color="auto" w:sz="4" w:space="0"/>
              <w:right w:val="single" w:color="auto" w:sz="4" w:space="0"/>
            </w:tcBorders>
            <w:vAlign w:val="center"/>
          </w:tcPr>
          <w:p w14:paraId="55A0FB5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lang w:eastAsia="zh-CN"/>
              </w:rPr>
            </w:pPr>
            <w:r>
              <w:rPr>
                <w:rFonts w:hint="eastAsia" w:ascii="仿宋_GB2312" w:hAnsi="仿宋_GB2312" w:eastAsia="仿宋_GB2312" w:cs="仿宋_GB2312"/>
                <w:b/>
                <w:color w:val="000000"/>
                <w:sz w:val="24"/>
                <w:szCs w:val="24"/>
                <w:lang w:eastAsia="zh-CN"/>
              </w:rPr>
              <w:t>中浓度加标</w:t>
            </w:r>
          </w:p>
        </w:tc>
        <w:tc>
          <w:tcPr>
            <w:tcW w:w="1302" w:type="dxa"/>
            <w:tcBorders>
              <w:top w:val="single" w:color="auto" w:sz="4" w:space="0"/>
              <w:left w:val="single" w:color="auto" w:sz="4" w:space="0"/>
              <w:bottom w:val="single" w:color="auto" w:sz="4" w:space="0"/>
              <w:right w:val="single" w:color="auto" w:sz="4" w:space="0"/>
            </w:tcBorders>
            <w:vAlign w:val="center"/>
          </w:tcPr>
          <w:p w14:paraId="1BD85DB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lang w:eastAsia="zh-CN"/>
              </w:rPr>
            </w:pPr>
            <w:r>
              <w:rPr>
                <w:rFonts w:hint="eastAsia" w:ascii="仿宋_GB2312" w:hAnsi="仿宋_GB2312" w:eastAsia="仿宋_GB2312" w:cs="仿宋_GB2312"/>
                <w:b/>
                <w:color w:val="000000"/>
                <w:sz w:val="24"/>
                <w:szCs w:val="24"/>
                <w:lang w:eastAsia="zh-CN"/>
              </w:rPr>
              <w:t>高浓度加标</w:t>
            </w:r>
          </w:p>
        </w:tc>
        <w:tc>
          <w:tcPr>
            <w:tcW w:w="1301" w:type="dxa"/>
            <w:tcBorders>
              <w:top w:val="single" w:color="auto" w:sz="4" w:space="0"/>
              <w:left w:val="single" w:color="auto" w:sz="4" w:space="0"/>
              <w:bottom w:val="single" w:color="auto" w:sz="4" w:space="0"/>
              <w:right w:val="single" w:color="auto" w:sz="4" w:space="0"/>
            </w:tcBorders>
            <w:vAlign w:val="center"/>
          </w:tcPr>
          <w:p w14:paraId="11F03F4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lang w:eastAsia="zh-CN"/>
              </w:rPr>
            </w:pPr>
            <w:r>
              <w:rPr>
                <w:rFonts w:hint="eastAsia" w:ascii="仿宋_GB2312" w:hAnsi="仿宋_GB2312" w:eastAsia="仿宋_GB2312" w:cs="仿宋_GB2312"/>
                <w:b/>
                <w:color w:val="000000"/>
                <w:sz w:val="24"/>
                <w:szCs w:val="24"/>
                <w:lang w:eastAsia="zh-CN"/>
              </w:rPr>
              <w:t>低浓度加标</w:t>
            </w:r>
          </w:p>
        </w:tc>
        <w:tc>
          <w:tcPr>
            <w:tcW w:w="1301" w:type="dxa"/>
            <w:tcBorders>
              <w:top w:val="single" w:color="auto" w:sz="4" w:space="0"/>
              <w:left w:val="single" w:color="auto" w:sz="4" w:space="0"/>
              <w:bottom w:val="single" w:color="auto" w:sz="4" w:space="0"/>
              <w:right w:val="single" w:color="auto" w:sz="4" w:space="0"/>
            </w:tcBorders>
            <w:vAlign w:val="center"/>
          </w:tcPr>
          <w:p w14:paraId="45DD071C">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lang w:eastAsia="zh-CN"/>
              </w:rPr>
            </w:pPr>
            <w:r>
              <w:rPr>
                <w:rFonts w:hint="eastAsia" w:ascii="仿宋_GB2312" w:hAnsi="仿宋_GB2312" w:eastAsia="仿宋_GB2312" w:cs="仿宋_GB2312"/>
                <w:b/>
                <w:color w:val="000000"/>
                <w:sz w:val="24"/>
                <w:szCs w:val="24"/>
                <w:lang w:eastAsia="zh-CN"/>
              </w:rPr>
              <w:t>中浓度加标</w:t>
            </w:r>
          </w:p>
        </w:tc>
        <w:tc>
          <w:tcPr>
            <w:tcW w:w="1263" w:type="dxa"/>
            <w:tcBorders>
              <w:top w:val="single" w:color="auto" w:sz="4" w:space="0"/>
              <w:left w:val="single" w:color="auto" w:sz="4" w:space="0"/>
              <w:bottom w:val="single" w:color="auto" w:sz="4" w:space="0"/>
              <w:right w:val="single" w:color="auto" w:sz="4" w:space="0"/>
            </w:tcBorders>
            <w:vAlign w:val="center"/>
          </w:tcPr>
          <w:p w14:paraId="10E598F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lang w:eastAsia="zh-CN"/>
              </w:rPr>
            </w:pPr>
            <w:r>
              <w:rPr>
                <w:rFonts w:hint="eastAsia" w:ascii="仿宋_GB2312" w:hAnsi="仿宋_GB2312" w:eastAsia="仿宋_GB2312" w:cs="仿宋_GB2312"/>
                <w:b/>
                <w:color w:val="000000"/>
                <w:sz w:val="24"/>
                <w:szCs w:val="24"/>
                <w:lang w:eastAsia="zh-CN"/>
              </w:rPr>
              <w:t>高浓度加标</w:t>
            </w:r>
          </w:p>
        </w:tc>
      </w:tr>
      <w:tr w14:paraId="2275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415" w:type="dxa"/>
            <w:vMerge w:val="restart"/>
            <w:tcBorders>
              <w:top w:val="single" w:color="auto" w:sz="4" w:space="0"/>
              <w:left w:val="single" w:color="auto" w:sz="4" w:space="0"/>
              <w:bottom w:val="single" w:color="auto" w:sz="4" w:space="0"/>
              <w:right w:val="single" w:color="auto" w:sz="4" w:space="0"/>
            </w:tcBorders>
            <w:vAlign w:val="center"/>
          </w:tcPr>
          <w:p w14:paraId="5BCC0E5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平行测定结果</w:t>
            </w:r>
          </w:p>
          <w:p w14:paraId="3E4E382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en-US" w:eastAsia="zh-CN"/>
              </w:rPr>
              <w:t>n</w:t>
            </w:r>
            <w:r>
              <w:rPr>
                <w:rFonts w:hint="eastAsia" w:ascii="仿宋_GB2312" w:hAnsi="仿宋_GB2312" w:eastAsia="仿宋_GB2312" w:cs="仿宋_GB2312"/>
                <w:color w:val="000000"/>
                <w:sz w:val="24"/>
                <w:szCs w:val="24"/>
              </w:rPr>
              <w:t>g）</w:t>
            </w:r>
          </w:p>
        </w:tc>
        <w:tc>
          <w:tcPr>
            <w:tcW w:w="574" w:type="dxa"/>
            <w:tcBorders>
              <w:top w:val="single" w:color="auto" w:sz="4" w:space="0"/>
              <w:left w:val="single" w:color="auto" w:sz="4" w:space="0"/>
              <w:bottom w:val="single" w:color="auto" w:sz="4" w:space="0"/>
              <w:right w:val="single" w:color="auto" w:sz="4" w:space="0"/>
            </w:tcBorders>
            <w:vAlign w:val="center"/>
          </w:tcPr>
          <w:p w14:paraId="59CC29B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1212" w:type="dxa"/>
            <w:tcBorders>
              <w:top w:val="single" w:color="auto" w:sz="4" w:space="0"/>
              <w:left w:val="single" w:color="auto" w:sz="4" w:space="0"/>
              <w:bottom w:val="single" w:color="auto" w:sz="4" w:space="0"/>
              <w:right w:val="single" w:color="auto" w:sz="4" w:space="0"/>
            </w:tcBorders>
            <w:vAlign w:val="bottom"/>
          </w:tcPr>
          <w:p w14:paraId="086A637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0.77</w:t>
            </w:r>
          </w:p>
        </w:tc>
        <w:tc>
          <w:tcPr>
            <w:tcW w:w="1297" w:type="dxa"/>
            <w:tcBorders>
              <w:top w:val="single" w:color="auto" w:sz="4" w:space="0"/>
              <w:left w:val="single" w:color="auto" w:sz="4" w:space="0"/>
              <w:bottom w:val="single" w:color="auto" w:sz="4" w:space="0"/>
              <w:right w:val="single" w:color="auto" w:sz="4" w:space="0"/>
            </w:tcBorders>
            <w:vAlign w:val="bottom"/>
          </w:tcPr>
          <w:p w14:paraId="7476DFB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1.46</w:t>
            </w:r>
          </w:p>
        </w:tc>
        <w:tc>
          <w:tcPr>
            <w:tcW w:w="1302" w:type="dxa"/>
            <w:tcBorders>
              <w:top w:val="single" w:color="auto" w:sz="4" w:space="0"/>
              <w:left w:val="single" w:color="auto" w:sz="4" w:space="0"/>
              <w:bottom w:val="single" w:color="auto" w:sz="4" w:space="0"/>
              <w:right w:val="single" w:color="auto" w:sz="4" w:space="0"/>
            </w:tcBorders>
            <w:vAlign w:val="bottom"/>
          </w:tcPr>
          <w:p w14:paraId="0F704EC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7.54</w:t>
            </w:r>
          </w:p>
        </w:tc>
        <w:tc>
          <w:tcPr>
            <w:tcW w:w="1301" w:type="dxa"/>
            <w:tcBorders>
              <w:top w:val="single" w:color="auto" w:sz="4" w:space="0"/>
              <w:left w:val="single" w:color="auto" w:sz="4" w:space="0"/>
              <w:bottom w:val="single" w:color="auto" w:sz="4" w:space="0"/>
              <w:right w:val="single" w:color="auto" w:sz="4" w:space="0"/>
            </w:tcBorders>
            <w:vAlign w:val="bottom"/>
          </w:tcPr>
          <w:p w14:paraId="0722D5B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0.78</w:t>
            </w:r>
          </w:p>
        </w:tc>
        <w:tc>
          <w:tcPr>
            <w:tcW w:w="1301" w:type="dxa"/>
            <w:tcBorders>
              <w:top w:val="single" w:color="auto" w:sz="4" w:space="0"/>
              <w:left w:val="single" w:color="auto" w:sz="4" w:space="0"/>
              <w:bottom w:val="single" w:color="auto" w:sz="4" w:space="0"/>
              <w:right w:val="single" w:color="auto" w:sz="4" w:space="0"/>
            </w:tcBorders>
            <w:vAlign w:val="bottom"/>
          </w:tcPr>
          <w:p w14:paraId="2CE6A9F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1.65</w:t>
            </w:r>
          </w:p>
        </w:tc>
        <w:tc>
          <w:tcPr>
            <w:tcW w:w="1263" w:type="dxa"/>
            <w:tcBorders>
              <w:top w:val="single" w:color="auto" w:sz="4" w:space="0"/>
              <w:left w:val="single" w:color="auto" w:sz="4" w:space="0"/>
              <w:bottom w:val="single" w:color="auto" w:sz="4" w:space="0"/>
              <w:right w:val="single" w:color="auto" w:sz="4" w:space="0"/>
            </w:tcBorders>
            <w:vAlign w:val="bottom"/>
          </w:tcPr>
          <w:p w14:paraId="292D81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7.94</w:t>
            </w:r>
          </w:p>
        </w:tc>
      </w:tr>
      <w:tr w14:paraId="7E9C6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415" w:type="dxa"/>
            <w:vMerge w:val="continue"/>
            <w:tcBorders>
              <w:top w:val="single" w:color="auto" w:sz="4" w:space="0"/>
              <w:left w:val="single" w:color="auto" w:sz="4" w:space="0"/>
              <w:bottom w:val="single" w:color="auto" w:sz="4" w:space="0"/>
              <w:right w:val="single" w:color="auto" w:sz="4" w:space="0"/>
            </w:tcBorders>
            <w:vAlign w:val="center"/>
          </w:tcPr>
          <w:p w14:paraId="39DFD95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p>
        </w:tc>
        <w:tc>
          <w:tcPr>
            <w:tcW w:w="574" w:type="dxa"/>
            <w:tcBorders>
              <w:top w:val="single" w:color="auto" w:sz="4" w:space="0"/>
              <w:left w:val="single" w:color="auto" w:sz="4" w:space="0"/>
              <w:bottom w:val="single" w:color="auto" w:sz="4" w:space="0"/>
              <w:right w:val="single" w:color="auto" w:sz="4" w:space="0"/>
            </w:tcBorders>
            <w:vAlign w:val="center"/>
          </w:tcPr>
          <w:p w14:paraId="5BA204A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p>
        </w:tc>
        <w:tc>
          <w:tcPr>
            <w:tcW w:w="1212" w:type="dxa"/>
            <w:tcBorders>
              <w:top w:val="single" w:color="auto" w:sz="4" w:space="0"/>
              <w:left w:val="single" w:color="auto" w:sz="4" w:space="0"/>
              <w:bottom w:val="single" w:color="auto" w:sz="4" w:space="0"/>
              <w:right w:val="single" w:color="auto" w:sz="4" w:space="0"/>
            </w:tcBorders>
            <w:vAlign w:val="bottom"/>
          </w:tcPr>
          <w:p w14:paraId="71991B8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0.75</w:t>
            </w:r>
          </w:p>
        </w:tc>
        <w:tc>
          <w:tcPr>
            <w:tcW w:w="1297" w:type="dxa"/>
            <w:tcBorders>
              <w:top w:val="single" w:color="auto" w:sz="4" w:space="0"/>
              <w:left w:val="single" w:color="auto" w:sz="4" w:space="0"/>
              <w:bottom w:val="single" w:color="auto" w:sz="4" w:space="0"/>
              <w:right w:val="single" w:color="auto" w:sz="4" w:space="0"/>
            </w:tcBorders>
            <w:vAlign w:val="bottom"/>
          </w:tcPr>
          <w:p w14:paraId="19C3333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1.45</w:t>
            </w:r>
          </w:p>
        </w:tc>
        <w:tc>
          <w:tcPr>
            <w:tcW w:w="1302" w:type="dxa"/>
            <w:tcBorders>
              <w:top w:val="single" w:color="auto" w:sz="4" w:space="0"/>
              <w:left w:val="single" w:color="auto" w:sz="4" w:space="0"/>
              <w:bottom w:val="single" w:color="auto" w:sz="4" w:space="0"/>
              <w:right w:val="single" w:color="auto" w:sz="4" w:space="0"/>
            </w:tcBorders>
            <w:vAlign w:val="bottom"/>
          </w:tcPr>
          <w:p w14:paraId="708F843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7.63</w:t>
            </w:r>
          </w:p>
        </w:tc>
        <w:tc>
          <w:tcPr>
            <w:tcW w:w="1301" w:type="dxa"/>
            <w:tcBorders>
              <w:top w:val="single" w:color="auto" w:sz="4" w:space="0"/>
              <w:left w:val="single" w:color="auto" w:sz="4" w:space="0"/>
              <w:bottom w:val="single" w:color="auto" w:sz="4" w:space="0"/>
              <w:right w:val="single" w:color="auto" w:sz="4" w:space="0"/>
            </w:tcBorders>
            <w:vAlign w:val="bottom"/>
          </w:tcPr>
          <w:p w14:paraId="4C7A3D0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0.79</w:t>
            </w:r>
          </w:p>
        </w:tc>
        <w:tc>
          <w:tcPr>
            <w:tcW w:w="1301" w:type="dxa"/>
            <w:tcBorders>
              <w:top w:val="single" w:color="auto" w:sz="4" w:space="0"/>
              <w:left w:val="single" w:color="auto" w:sz="4" w:space="0"/>
              <w:bottom w:val="single" w:color="auto" w:sz="4" w:space="0"/>
              <w:right w:val="single" w:color="auto" w:sz="4" w:space="0"/>
            </w:tcBorders>
            <w:vAlign w:val="bottom"/>
          </w:tcPr>
          <w:p w14:paraId="518C325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1.63</w:t>
            </w:r>
          </w:p>
        </w:tc>
        <w:tc>
          <w:tcPr>
            <w:tcW w:w="1263" w:type="dxa"/>
            <w:tcBorders>
              <w:top w:val="single" w:color="auto" w:sz="4" w:space="0"/>
              <w:left w:val="single" w:color="auto" w:sz="4" w:space="0"/>
              <w:bottom w:val="single" w:color="auto" w:sz="4" w:space="0"/>
              <w:right w:val="single" w:color="auto" w:sz="4" w:space="0"/>
            </w:tcBorders>
            <w:vAlign w:val="bottom"/>
          </w:tcPr>
          <w:p w14:paraId="25AA422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7.89</w:t>
            </w:r>
          </w:p>
        </w:tc>
      </w:tr>
      <w:tr w14:paraId="47F6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415" w:type="dxa"/>
            <w:vMerge w:val="continue"/>
            <w:tcBorders>
              <w:top w:val="single" w:color="auto" w:sz="4" w:space="0"/>
              <w:left w:val="single" w:color="auto" w:sz="4" w:space="0"/>
              <w:bottom w:val="single" w:color="auto" w:sz="4" w:space="0"/>
              <w:right w:val="single" w:color="auto" w:sz="4" w:space="0"/>
            </w:tcBorders>
            <w:vAlign w:val="center"/>
          </w:tcPr>
          <w:p w14:paraId="6161696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p>
        </w:tc>
        <w:tc>
          <w:tcPr>
            <w:tcW w:w="574" w:type="dxa"/>
            <w:tcBorders>
              <w:top w:val="single" w:color="auto" w:sz="4" w:space="0"/>
              <w:left w:val="single" w:color="auto" w:sz="4" w:space="0"/>
              <w:bottom w:val="single" w:color="auto" w:sz="4" w:space="0"/>
              <w:right w:val="single" w:color="auto" w:sz="4" w:space="0"/>
            </w:tcBorders>
            <w:vAlign w:val="center"/>
          </w:tcPr>
          <w:p w14:paraId="711519C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w:t>
            </w:r>
          </w:p>
        </w:tc>
        <w:tc>
          <w:tcPr>
            <w:tcW w:w="1212" w:type="dxa"/>
            <w:tcBorders>
              <w:top w:val="single" w:color="auto" w:sz="4" w:space="0"/>
              <w:left w:val="single" w:color="auto" w:sz="4" w:space="0"/>
              <w:bottom w:val="single" w:color="auto" w:sz="4" w:space="0"/>
              <w:right w:val="single" w:color="auto" w:sz="4" w:space="0"/>
            </w:tcBorders>
            <w:vAlign w:val="bottom"/>
          </w:tcPr>
          <w:p w14:paraId="518C1D6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w:t>
            </w:r>
          </w:p>
        </w:tc>
        <w:tc>
          <w:tcPr>
            <w:tcW w:w="1297" w:type="dxa"/>
            <w:tcBorders>
              <w:top w:val="single" w:color="auto" w:sz="4" w:space="0"/>
              <w:left w:val="single" w:color="auto" w:sz="4" w:space="0"/>
              <w:bottom w:val="single" w:color="auto" w:sz="4" w:space="0"/>
              <w:right w:val="single" w:color="auto" w:sz="4" w:space="0"/>
            </w:tcBorders>
            <w:vAlign w:val="bottom"/>
          </w:tcPr>
          <w:p w14:paraId="0750ADF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1.47</w:t>
            </w:r>
          </w:p>
        </w:tc>
        <w:tc>
          <w:tcPr>
            <w:tcW w:w="1302" w:type="dxa"/>
            <w:tcBorders>
              <w:top w:val="single" w:color="auto" w:sz="4" w:space="0"/>
              <w:left w:val="single" w:color="auto" w:sz="4" w:space="0"/>
              <w:bottom w:val="single" w:color="auto" w:sz="4" w:space="0"/>
              <w:right w:val="single" w:color="auto" w:sz="4" w:space="0"/>
            </w:tcBorders>
            <w:vAlign w:val="bottom"/>
          </w:tcPr>
          <w:p w14:paraId="3D2FBE3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7.73</w:t>
            </w:r>
          </w:p>
        </w:tc>
        <w:tc>
          <w:tcPr>
            <w:tcW w:w="1301" w:type="dxa"/>
            <w:tcBorders>
              <w:top w:val="single" w:color="auto" w:sz="4" w:space="0"/>
              <w:left w:val="single" w:color="auto" w:sz="4" w:space="0"/>
              <w:bottom w:val="single" w:color="auto" w:sz="4" w:space="0"/>
              <w:right w:val="single" w:color="auto" w:sz="4" w:space="0"/>
            </w:tcBorders>
            <w:vAlign w:val="bottom"/>
          </w:tcPr>
          <w:p w14:paraId="6D0ACB3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0.78</w:t>
            </w:r>
          </w:p>
        </w:tc>
        <w:tc>
          <w:tcPr>
            <w:tcW w:w="1301" w:type="dxa"/>
            <w:tcBorders>
              <w:top w:val="single" w:color="auto" w:sz="4" w:space="0"/>
              <w:left w:val="single" w:color="auto" w:sz="4" w:space="0"/>
              <w:bottom w:val="single" w:color="auto" w:sz="4" w:space="0"/>
              <w:right w:val="single" w:color="auto" w:sz="4" w:space="0"/>
            </w:tcBorders>
            <w:vAlign w:val="bottom"/>
          </w:tcPr>
          <w:p w14:paraId="0186C26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1.62</w:t>
            </w:r>
          </w:p>
        </w:tc>
        <w:tc>
          <w:tcPr>
            <w:tcW w:w="1263" w:type="dxa"/>
            <w:tcBorders>
              <w:top w:val="single" w:color="auto" w:sz="4" w:space="0"/>
              <w:left w:val="single" w:color="auto" w:sz="4" w:space="0"/>
              <w:bottom w:val="single" w:color="auto" w:sz="4" w:space="0"/>
              <w:right w:val="single" w:color="auto" w:sz="4" w:space="0"/>
            </w:tcBorders>
            <w:vAlign w:val="bottom"/>
          </w:tcPr>
          <w:p w14:paraId="7412C3F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8.07</w:t>
            </w:r>
          </w:p>
        </w:tc>
      </w:tr>
      <w:tr w14:paraId="73706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415" w:type="dxa"/>
            <w:vMerge w:val="continue"/>
            <w:tcBorders>
              <w:top w:val="single" w:color="auto" w:sz="4" w:space="0"/>
              <w:left w:val="single" w:color="auto" w:sz="4" w:space="0"/>
              <w:bottom w:val="single" w:color="auto" w:sz="4" w:space="0"/>
              <w:right w:val="single" w:color="auto" w:sz="4" w:space="0"/>
            </w:tcBorders>
            <w:vAlign w:val="center"/>
          </w:tcPr>
          <w:p w14:paraId="5E3398C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p>
        </w:tc>
        <w:tc>
          <w:tcPr>
            <w:tcW w:w="574" w:type="dxa"/>
            <w:tcBorders>
              <w:top w:val="single" w:color="auto" w:sz="4" w:space="0"/>
              <w:left w:val="single" w:color="auto" w:sz="4" w:space="0"/>
              <w:bottom w:val="single" w:color="auto" w:sz="4" w:space="0"/>
              <w:right w:val="single" w:color="auto" w:sz="4" w:space="0"/>
            </w:tcBorders>
            <w:vAlign w:val="center"/>
          </w:tcPr>
          <w:p w14:paraId="7C79E6E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p>
        </w:tc>
        <w:tc>
          <w:tcPr>
            <w:tcW w:w="1212" w:type="dxa"/>
            <w:tcBorders>
              <w:top w:val="single" w:color="auto" w:sz="4" w:space="0"/>
              <w:left w:val="single" w:color="auto" w:sz="4" w:space="0"/>
              <w:bottom w:val="single" w:color="auto" w:sz="4" w:space="0"/>
              <w:right w:val="single" w:color="auto" w:sz="4" w:space="0"/>
            </w:tcBorders>
            <w:vAlign w:val="bottom"/>
          </w:tcPr>
          <w:p w14:paraId="6B9D3F5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0.68</w:t>
            </w:r>
          </w:p>
        </w:tc>
        <w:tc>
          <w:tcPr>
            <w:tcW w:w="1297" w:type="dxa"/>
            <w:tcBorders>
              <w:top w:val="single" w:color="auto" w:sz="4" w:space="0"/>
              <w:left w:val="single" w:color="auto" w:sz="4" w:space="0"/>
              <w:bottom w:val="single" w:color="auto" w:sz="4" w:space="0"/>
              <w:right w:val="single" w:color="auto" w:sz="4" w:space="0"/>
            </w:tcBorders>
            <w:vAlign w:val="bottom"/>
          </w:tcPr>
          <w:p w14:paraId="0A9377E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1.48</w:t>
            </w:r>
          </w:p>
        </w:tc>
        <w:tc>
          <w:tcPr>
            <w:tcW w:w="1302" w:type="dxa"/>
            <w:tcBorders>
              <w:top w:val="single" w:color="auto" w:sz="4" w:space="0"/>
              <w:left w:val="single" w:color="auto" w:sz="4" w:space="0"/>
              <w:bottom w:val="single" w:color="auto" w:sz="4" w:space="0"/>
              <w:right w:val="single" w:color="auto" w:sz="4" w:space="0"/>
            </w:tcBorders>
            <w:vAlign w:val="bottom"/>
          </w:tcPr>
          <w:p w14:paraId="566C5CB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7.58</w:t>
            </w:r>
          </w:p>
        </w:tc>
        <w:tc>
          <w:tcPr>
            <w:tcW w:w="1301" w:type="dxa"/>
            <w:tcBorders>
              <w:top w:val="single" w:color="auto" w:sz="4" w:space="0"/>
              <w:left w:val="single" w:color="auto" w:sz="4" w:space="0"/>
              <w:bottom w:val="single" w:color="auto" w:sz="4" w:space="0"/>
              <w:right w:val="single" w:color="auto" w:sz="4" w:space="0"/>
            </w:tcBorders>
            <w:vAlign w:val="bottom"/>
          </w:tcPr>
          <w:p w14:paraId="67EB034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0.80</w:t>
            </w:r>
          </w:p>
        </w:tc>
        <w:tc>
          <w:tcPr>
            <w:tcW w:w="1301" w:type="dxa"/>
            <w:tcBorders>
              <w:top w:val="single" w:color="auto" w:sz="4" w:space="0"/>
              <w:left w:val="single" w:color="auto" w:sz="4" w:space="0"/>
              <w:bottom w:val="single" w:color="auto" w:sz="4" w:space="0"/>
              <w:right w:val="single" w:color="auto" w:sz="4" w:space="0"/>
            </w:tcBorders>
            <w:vAlign w:val="bottom"/>
          </w:tcPr>
          <w:p w14:paraId="509D356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1.69</w:t>
            </w:r>
          </w:p>
        </w:tc>
        <w:tc>
          <w:tcPr>
            <w:tcW w:w="1263" w:type="dxa"/>
            <w:tcBorders>
              <w:top w:val="single" w:color="auto" w:sz="4" w:space="0"/>
              <w:left w:val="single" w:color="auto" w:sz="4" w:space="0"/>
              <w:bottom w:val="single" w:color="auto" w:sz="4" w:space="0"/>
              <w:right w:val="single" w:color="auto" w:sz="4" w:space="0"/>
            </w:tcBorders>
            <w:vAlign w:val="bottom"/>
          </w:tcPr>
          <w:p w14:paraId="0CA677F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8.04</w:t>
            </w:r>
          </w:p>
        </w:tc>
      </w:tr>
      <w:tr w14:paraId="74A3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415" w:type="dxa"/>
            <w:vMerge w:val="continue"/>
            <w:tcBorders>
              <w:top w:val="single" w:color="auto" w:sz="4" w:space="0"/>
              <w:left w:val="single" w:color="auto" w:sz="4" w:space="0"/>
              <w:bottom w:val="single" w:color="auto" w:sz="4" w:space="0"/>
              <w:right w:val="single" w:color="auto" w:sz="4" w:space="0"/>
            </w:tcBorders>
            <w:vAlign w:val="center"/>
          </w:tcPr>
          <w:p w14:paraId="210FBDE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p>
        </w:tc>
        <w:tc>
          <w:tcPr>
            <w:tcW w:w="574" w:type="dxa"/>
            <w:tcBorders>
              <w:top w:val="single" w:color="auto" w:sz="4" w:space="0"/>
              <w:left w:val="single" w:color="auto" w:sz="4" w:space="0"/>
              <w:bottom w:val="single" w:color="auto" w:sz="4" w:space="0"/>
              <w:right w:val="single" w:color="auto" w:sz="4" w:space="0"/>
            </w:tcBorders>
            <w:vAlign w:val="center"/>
          </w:tcPr>
          <w:p w14:paraId="73F5620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5</w:t>
            </w:r>
          </w:p>
        </w:tc>
        <w:tc>
          <w:tcPr>
            <w:tcW w:w="1212" w:type="dxa"/>
            <w:tcBorders>
              <w:top w:val="single" w:color="auto" w:sz="4" w:space="0"/>
              <w:left w:val="single" w:color="auto" w:sz="4" w:space="0"/>
              <w:bottom w:val="single" w:color="auto" w:sz="4" w:space="0"/>
              <w:right w:val="single" w:color="auto" w:sz="4" w:space="0"/>
            </w:tcBorders>
            <w:vAlign w:val="bottom"/>
          </w:tcPr>
          <w:p w14:paraId="27BE338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0.69</w:t>
            </w:r>
          </w:p>
        </w:tc>
        <w:tc>
          <w:tcPr>
            <w:tcW w:w="1297" w:type="dxa"/>
            <w:tcBorders>
              <w:top w:val="single" w:color="auto" w:sz="4" w:space="0"/>
              <w:left w:val="single" w:color="auto" w:sz="4" w:space="0"/>
              <w:bottom w:val="single" w:color="auto" w:sz="4" w:space="0"/>
              <w:right w:val="single" w:color="auto" w:sz="4" w:space="0"/>
            </w:tcBorders>
            <w:vAlign w:val="bottom"/>
          </w:tcPr>
          <w:p w14:paraId="46CAC6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1.46</w:t>
            </w:r>
          </w:p>
        </w:tc>
        <w:tc>
          <w:tcPr>
            <w:tcW w:w="1302" w:type="dxa"/>
            <w:tcBorders>
              <w:top w:val="single" w:color="auto" w:sz="4" w:space="0"/>
              <w:left w:val="single" w:color="auto" w:sz="4" w:space="0"/>
              <w:bottom w:val="single" w:color="auto" w:sz="4" w:space="0"/>
              <w:right w:val="single" w:color="auto" w:sz="4" w:space="0"/>
            </w:tcBorders>
            <w:vAlign w:val="bottom"/>
          </w:tcPr>
          <w:p w14:paraId="6C1C2FD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 xml:space="preserve">7.60 </w:t>
            </w:r>
          </w:p>
        </w:tc>
        <w:tc>
          <w:tcPr>
            <w:tcW w:w="1301" w:type="dxa"/>
            <w:tcBorders>
              <w:top w:val="single" w:color="auto" w:sz="4" w:space="0"/>
              <w:left w:val="single" w:color="auto" w:sz="4" w:space="0"/>
              <w:bottom w:val="single" w:color="auto" w:sz="4" w:space="0"/>
              <w:right w:val="single" w:color="auto" w:sz="4" w:space="0"/>
            </w:tcBorders>
            <w:vAlign w:val="bottom"/>
          </w:tcPr>
          <w:p w14:paraId="7444309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0.75</w:t>
            </w:r>
          </w:p>
        </w:tc>
        <w:tc>
          <w:tcPr>
            <w:tcW w:w="1301" w:type="dxa"/>
            <w:tcBorders>
              <w:top w:val="single" w:color="auto" w:sz="4" w:space="0"/>
              <w:left w:val="single" w:color="auto" w:sz="4" w:space="0"/>
              <w:bottom w:val="single" w:color="auto" w:sz="4" w:space="0"/>
              <w:right w:val="single" w:color="auto" w:sz="4" w:space="0"/>
            </w:tcBorders>
            <w:vAlign w:val="bottom"/>
          </w:tcPr>
          <w:p w14:paraId="2D70D59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1.66</w:t>
            </w:r>
          </w:p>
        </w:tc>
        <w:tc>
          <w:tcPr>
            <w:tcW w:w="1263" w:type="dxa"/>
            <w:tcBorders>
              <w:top w:val="single" w:color="auto" w:sz="4" w:space="0"/>
              <w:left w:val="single" w:color="auto" w:sz="4" w:space="0"/>
              <w:bottom w:val="single" w:color="auto" w:sz="4" w:space="0"/>
              <w:right w:val="single" w:color="auto" w:sz="4" w:space="0"/>
            </w:tcBorders>
            <w:vAlign w:val="bottom"/>
          </w:tcPr>
          <w:p w14:paraId="28AE264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8.06</w:t>
            </w:r>
          </w:p>
        </w:tc>
      </w:tr>
      <w:tr w14:paraId="43F6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415" w:type="dxa"/>
            <w:vMerge w:val="continue"/>
            <w:tcBorders>
              <w:top w:val="single" w:color="auto" w:sz="4" w:space="0"/>
              <w:left w:val="single" w:color="auto" w:sz="4" w:space="0"/>
              <w:bottom w:val="single" w:color="auto" w:sz="4" w:space="0"/>
              <w:right w:val="single" w:color="auto" w:sz="4" w:space="0"/>
            </w:tcBorders>
            <w:vAlign w:val="center"/>
          </w:tcPr>
          <w:p w14:paraId="48FBAD3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p>
        </w:tc>
        <w:tc>
          <w:tcPr>
            <w:tcW w:w="574" w:type="dxa"/>
            <w:tcBorders>
              <w:top w:val="single" w:color="auto" w:sz="4" w:space="0"/>
              <w:left w:val="single" w:color="auto" w:sz="4" w:space="0"/>
              <w:bottom w:val="single" w:color="auto" w:sz="4" w:space="0"/>
              <w:right w:val="single" w:color="auto" w:sz="4" w:space="0"/>
            </w:tcBorders>
            <w:vAlign w:val="center"/>
          </w:tcPr>
          <w:p w14:paraId="7A318FF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6</w:t>
            </w:r>
          </w:p>
        </w:tc>
        <w:tc>
          <w:tcPr>
            <w:tcW w:w="1212" w:type="dxa"/>
            <w:tcBorders>
              <w:top w:val="single" w:color="auto" w:sz="4" w:space="0"/>
              <w:left w:val="single" w:color="auto" w:sz="4" w:space="0"/>
              <w:bottom w:val="single" w:color="auto" w:sz="4" w:space="0"/>
              <w:right w:val="single" w:color="auto" w:sz="4" w:space="0"/>
            </w:tcBorders>
            <w:vAlign w:val="bottom"/>
          </w:tcPr>
          <w:p w14:paraId="5A6CE74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0.72</w:t>
            </w:r>
          </w:p>
        </w:tc>
        <w:tc>
          <w:tcPr>
            <w:tcW w:w="1297" w:type="dxa"/>
            <w:tcBorders>
              <w:top w:val="single" w:color="auto" w:sz="4" w:space="0"/>
              <w:left w:val="single" w:color="auto" w:sz="4" w:space="0"/>
              <w:bottom w:val="single" w:color="auto" w:sz="4" w:space="0"/>
              <w:right w:val="single" w:color="auto" w:sz="4" w:space="0"/>
            </w:tcBorders>
            <w:vAlign w:val="bottom"/>
          </w:tcPr>
          <w:p w14:paraId="1EF13BA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1.52</w:t>
            </w:r>
          </w:p>
        </w:tc>
        <w:tc>
          <w:tcPr>
            <w:tcW w:w="1302" w:type="dxa"/>
            <w:tcBorders>
              <w:top w:val="single" w:color="auto" w:sz="4" w:space="0"/>
              <w:left w:val="single" w:color="auto" w:sz="4" w:space="0"/>
              <w:bottom w:val="single" w:color="auto" w:sz="4" w:space="0"/>
              <w:right w:val="single" w:color="auto" w:sz="4" w:space="0"/>
            </w:tcBorders>
            <w:vAlign w:val="bottom"/>
          </w:tcPr>
          <w:p w14:paraId="278B2E1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7.55</w:t>
            </w:r>
          </w:p>
        </w:tc>
        <w:tc>
          <w:tcPr>
            <w:tcW w:w="1301" w:type="dxa"/>
            <w:tcBorders>
              <w:top w:val="single" w:color="auto" w:sz="4" w:space="0"/>
              <w:left w:val="single" w:color="auto" w:sz="4" w:space="0"/>
              <w:bottom w:val="single" w:color="auto" w:sz="4" w:space="0"/>
              <w:right w:val="single" w:color="auto" w:sz="4" w:space="0"/>
            </w:tcBorders>
            <w:vAlign w:val="bottom"/>
          </w:tcPr>
          <w:p w14:paraId="5FB6DF5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0.76</w:t>
            </w:r>
          </w:p>
        </w:tc>
        <w:tc>
          <w:tcPr>
            <w:tcW w:w="1301" w:type="dxa"/>
            <w:tcBorders>
              <w:top w:val="single" w:color="auto" w:sz="4" w:space="0"/>
              <w:left w:val="single" w:color="auto" w:sz="4" w:space="0"/>
              <w:bottom w:val="single" w:color="auto" w:sz="4" w:space="0"/>
              <w:right w:val="single" w:color="auto" w:sz="4" w:space="0"/>
            </w:tcBorders>
            <w:vAlign w:val="bottom"/>
          </w:tcPr>
          <w:p w14:paraId="288F247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1.66</w:t>
            </w:r>
          </w:p>
        </w:tc>
        <w:tc>
          <w:tcPr>
            <w:tcW w:w="1263" w:type="dxa"/>
            <w:tcBorders>
              <w:top w:val="single" w:color="auto" w:sz="4" w:space="0"/>
              <w:left w:val="single" w:color="auto" w:sz="4" w:space="0"/>
              <w:bottom w:val="single" w:color="auto" w:sz="4" w:space="0"/>
              <w:right w:val="single" w:color="auto" w:sz="4" w:space="0"/>
            </w:tcBorders>
            <w:vAlign w:val="bottom"/>
          </w:tcPr>
          <w:p w14:paraId="534D132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8.06</w:t>
            </w:r>
          </w:p>
        </w:tc>
      </w:tr>
      <w:tr w14:paraId="68C5C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415" w:type="dxa"/>
            <w:vMerge w:val="continue"/>
            <w:tcBorders>
              <w:top w:val="single" w:color="auto" w:sz="4" w:space="0"/>
              <w:left w:val="single" w:color="auto" w:sz="4" w:space="0"/>
              <w:bottom w:val="single" w:color="auto" w:sz="4" w:space="0"/>
              <w:right w:val="single" w:color="auto" w:sz="4" w:space="0"/>
            </w:tcBorders>
            <w:vAlign w:val="center"/>
          </w:tcPr>
          <w:p w14:paraId="6B415AF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p>
        </w:tc>
        <w:tc>
          <w:tcPr>
            <w:tcW w:w="574" w:type="dxa"/>
            <w:tcBorders>
              <w:top w:val="single" w:color="auto" w:sz="4" w:space="0"/>
              <w:left w:val="single" w:color="auto" w:sz="4" w:space="0"/>
              <w:bottom w:val="single" w:color="auto" w:sz="4" w:space="0"/>
              <w:right w:val="single" w:color="auto" w:sz="4" w:space="0"/>
            </w:tcBorders>
            <w:vAlign w:val="center"/>
          </w:tcPr>
          <w:p w14:paraId="41F1663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w:t>
            </w:r>
          </w:p>
        </w:tc>
        <w:tc>
          <w:tcPr>
            <w:tcW w:w="1212" w:type="dxa"/>
            <w:tcBorders>
              <w:top w:val="single" w:color="auto" w:sz="4" w:space="0"/>
              <w:left w:val="single" w:color="auto" w:sz="4" w:space="0"/>
              <w:bottom w:val="single" w:color="auto" w:sz="4" w:space="0"/>
              <w:right w:val="single" w:color="auto" w:sz="4" w:space="0"/>
            </w:tcBorders>
            <w:vAlign w:val="bottom"/>
          </w:tcPr>
          <w:p w14:paraId="7691297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0.75</w:t>
            </w:r>
          </w:p>
        </w:tc>
        <w:tc>
          <w:tcPr>
            <w:tcW w:w="1297" w:type="dxa"/>
            <w:tcBorders>
              <w:top w:val="single" w:color="auto" w:sz="4" w:space="0"/>
              <w:left w:val="single" w:color="auto" w:sz="4" w:space="0"/>
              <w:bottom w:val="single" w:color="auto" w:sz="4" w:space="0"/>
              <w:right w:val="single" w:color="auto" w:sz="4" w:space="0"/>
            </w:tcBorders>
            <w:vAlign w:val="bottom"/>
          </w:tcPr>
          <w:p w14:paraId="5320483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1.44</w:t>
            </w:r>
          </w:p>
        </w:tc>
        <w:tc>
          <w:tcPr>
            <w:tcW w:w="1302" w:type="dxa"/>
            <w:tcBorders>
              <w:top w:val="single" w:color="auto" w:sz="4" w:space="0"/>
              <w:left w:val="single" w:color="auto" w:sz="4" w:space="0"/>
              <w:bottom w:val="single" w:color="auto" w:sz="4" w:space="0"/>
              <w:right w:val="single" w:color="auto" w:sz="4" w:space="0"/>
            </w:tcBorders>
            <w:vAlign w:val="bottom"/>
          </w:tcPr>
          <w:p w14:paraId="4FEE007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7.69</w:t>
            </w:r>
          </w:p>
        </w:tc>
        <w:tc>
          <w:tcPr>
            <w:tcW w:w="1301" w:type="dxa"/>
            <w:tcBorders>
              <w:top w:val="single" w:color="auto" w:sz="4" w:space="0"/>
              <w:left w:val="single" w:color="auto" w:sz="4" w:space="0"/>
              <w:bottom w:val="single" w:color="auto" w:sz="4" w:space="0"/>
              <w:right w:val="single" w:color="auto" w:sz="4" w:space="0"/>
            </w:tcBorders>
            <w:vAlign w:val="bottom"/>
          </w:tcPr>
          <w:p w14:paraId="2FD6304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0.76</w:t>
            </w:r>
          </w:p>
        </w:tc>
        <w:tc>
          <w:tcPr>
            <w:tcW w:w="1301" w:type="dxa"/>
            <w:tcBorders>
              <w:top w:val="single" w:color="auto" w:sz="4" w:space="0"/>
              <w:left w:val="single" w:color="auto" w:sz="4" w:space="0"/>
              <w:bottom w:val="single" w:color="auto" w:sz="4" w:space="0"/>
              <w:right w:val="single" w:color="auto" w:sz="4" w:space="0"/>
            </w:tcBorders>
            <w:vAlign w:val="bottom"/>
          </w:tcPr>
          <w:p w14:paraId="7DC03B3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1.62</w:t>
            </w:r>
          </w:p>
        </w:tc>
        <w:tc>
          <w:tcPr>
            <w:tcW w:w="1263" w:type="dxa"/>
            <w:tcBorders>
              <w:top w:val="single" w:color="auto" w:sz="4" w:space="0"/>
              <w:left w:val="single" w:color="auto" w:sz="4" w:space="0"/>
              <w:bottom w:val="single" w:color="auto" w:sz="4" w:space="0"/>
              <w:right w:val="single" w:color="auto" w:sz="4" w:space="0"/>
            </w:tcBorders>
            <w:vAlign w:val="bottom"/>
          </w:tcPr>
          <w:p w14:paraId="3A84842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8.09</w:t>
            </w:r>
          </w:p>
        </w:tc>
      </w:tr>
      <w:tr w14:paraId="103B0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989" w:type="dxa"/>
            <w:gridSpan w:val="2"/>
            <w:tcBorders>
              <w:top w:val="single" w:color="auto" w:sz="4" w:space="0"/>
              <w:left w:val="single" w:color="auto" w:sz="4" w:space="0"/>
              <w:bottom w:val="single" w:color="auto" w:sz="4" w:space="0"/>
              <w:right w:val="single" w:color="auto" w:sz="4" w:space="0"/>
            </w:tcBorders>
            <w:vAlign w:val="center"/>
          </w:tcPr>
          <w:p w14:paraId="1F6D5E8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平均值x（</w:t>
            </w:r>
            <w:r>
              <w:rPr>
                <w:rFonts w:hint="eastAsia" w:ascii="仿宋_GB2312" w:hAnsi="仿宋_GB2312" w:eastAsia="仿宋_GB2312" w:cs="仿宋_GB2312"/>
                <w:b/>
                <w:color w:val="000000"/>
                <w:sz w:val="24"/>
                <w:szCs w:val="24"/>
                <w:lang w:val="en-US" w:eastAsia="zh-CN"/>
              </w:rPr>
              <w:t>n</w:t>
            </w:r>
            <w:r>
              <w:rPr>
                <w:rFonts w:hint="eastAsia" w:ascii="仿宋_GB2312" w:hAnsi="仿宋_GB2312" w:eastAsia="仿宋_GB2312" w:cs="仿宋_GB2312"/>
                <w:b/>
                <w:color w:val="000000"/>
                <w:sz w:val="24"/>
                <w:szCs w:val="24"/>
              </w:rPr>
              <w:t>g）</w:t>
            </w:r>
          </w:p>
        </w:tc>
        <w:tc>
          <w:tcPr>
            <w:tcW w:w="1212" w:type="dxa"/>
            <w:tcBorders>
              <w:top w:val="single" w:color="auto" w:sz="4" w:space="0"/>
              <w:left w:val="single" w:color="auto" w:sz="4" w:space="0"/>
              <w:bottom w:val="single" w:color="auto" w:sz="4" w:space="0"/>
              <w:right w:val="single" w:color="auto" w:sz="4" w:space="0"/>
            </w:tcBorders>
            <w:vAlign w:val="center"/>
          </w:tcPr>
          <w:p w14:paraId="41D05F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color w:val="000000"/>
                <w:sz w:val="24"/>
                <w:szCs w:val="24"/>
                <w:lang w:val="en-US" w:eastAsia="zh-CN"/>
              </w:rPr>
            </w:pPr>
            <w:r>
              <w:rPr>
                <w:rFonts w:hint="eastAsia" w:ascii="仿宋_GB2312" w:hAnsi="仿宋_GB2312" w:eastAsia="仿宋_GB2312" w:cs="仿宋_GB2312"/>
                <w:b/>
                <w:i w:val="0"/>
                <w:iCs w:val="0"/>
                <w:color w:val="000000"/>
                <w:kern w:val="0"/>
                <w:sz w:val="24"/>
                <w:szCs w:val="24"/>
                <w:u w:val="none"/>
                <w:lang w:val="en-US" w:eastAsia="zh-CN" w:bidi="ar"/>
              </w:rPr>
              <w:t xml:space="preserve">0.72 </w:t>
            </w:r>
          </w:p>
        </w:tc>
        <w:tc>
          <w:tcPr>
            <w:tcW w:w="1297" w:type="dxa"/>
            <w:tcBorders>
              <w:top w:val="single" w:color="auto" w:sz="4" w:space="0"/>
              <w:left w:val="single" w:color="auto" w:sz="4" w:space="0"/>
              <w:bottom w:val="single" w:color="auto" w:sz="4" w:space="0"/>
              <w:right w:val="single" w:color="auto" w:sz="4" w:space="0"/>
            </w:tcBorders>
            <w:vAlign w:val="center"/>
          </w:tcPr>
          <w:p w14:paraId="71F602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color w:val="000000"/>
                <w:sz w:val="24"/>
                <w:szCs w:val="24"/>
                <w:lang w:val="en-US" w:eastAsia="zh-CN"/>
              </w:rPr>
            </w:pPr>
            <w:r>
              <w:rPr>
                <w:rFonts w:hint="eastAsia" w:ascii="仿宋_GB2312" w:hAnsi="仿宋_GB2312" w:eastAsia="仿宋_GB2312" w:cs="仿宋_GB2312"/>
                <w:b/>
                <w:i w:val="0"/>
                <w:iCs w:val="0"/>
                <w:color w:val="000000"/>
                <w:kern w:val="0"/>
                <w:sz w:val="24"/>
                <w:szCs w:val="24"/>
                <w:u w:val="none"/>
                <w:lang w:val="en-US" w:eastAsia="zh-CN" w:bidi="ar"/>
              </w:rPr>
              <w:t xml:space="preserve">1.47 </w:t>
            </w:r>
          </w:p>
        </w:tc>
        <w:tc>
          <w:tcPr>
            <w:tcW w:w="1302" w:type="dxa"/>
            <w:tcBorders>
              <w:top w:val="single" w:color="auto" w:sz="4" w:space="0"/>
              <w:left w:val="single" w:color="auto" w:sz="4" w:space="0"/>
              <w:bottom w:val="single" w:color="auto" w:sz="4" w:space="0"/>
              <w:right w:val="single" w:color="auto" w:sz="4" w:space="0"/>
            </w:tcBorders>
            <w:vAlign w:val="center"/>
          </w:tcPr>
          <w:p w14:paraId="05BD248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color w:val="000000"/>
                <w:sz w:val="24"/>
                <w:szCs w:val="24"/>
                <w:lang w:val="en-US" w:eastAsia="zh-CN"/>
              </w:rPr>
            </w:pPr>
            <w:r>
              <w:rPr>
                <w:rFonts w:hint="eastAsia" w:ascii="仿宋_GB2312" w:hAnsi="仿宋_GB2312" w:eastAsia="仿宋_GB2312" w:cs="仿宋_GB2312"/>
                <w:b/>
                <w:i w:val="0"/>
                <w:iCs w:val="0"/>
                <w:color w:val="000000"/>
                <w:kern w:val="0"/>
                <w:sz w:val="24"/>
                <w:szCs w:val="24"/>
                <w:u w:val="none"/>
                <w:lang w:val="en-US" w:eastAsia="zh-CN" w:bidi="ar"/>
              </w:rPr>
              <w:t>7.62</w:t>
            </w:r>
          </w:p>
        </w:tc>
        <w:tc>
          <w:tcPr>
            <w:tcW w:w="1301" w:type="dxa"/>
            <w:tcBorders>
              <w:top w:val="single" w:color="auto" w:sz="4" w:space="0"/>
              <w:left w:val="single" w:color="auto" w:sz="4" w:space="0"/>
              <w:bottom w:val="single" w:color="auto" w:sz="4" w:space="0"/>
              <w:right w:val="single" w:color="auto" w:sz="4" w:space="0"/>
            </w:tcBorders>
            <w:vAlign w:val="center"/>
          </w:tcPr>
          <w:p w14:paraId="37C1493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i w:val="0"/>
                <w:iCs w:val="0"/>
                <w:color w:val="000000"/>
                <w:kern w:val="0"/>
                <w:sz w:val="24"/>
                <w:szCs w:val="24"/>
                <w:u w:val="none"/>
                <w:lang w:val="en-US" w:eastAsia="zh-CN" w:bidi="ar"/>
              </w:rPr>
            </w:pPr>
            <w:r>
              <w:rPr>
                <w:rFonts w:hint="eastAsia" w:ascii="仿宋_GB2312" w:hAnsi="仿宋_GB2312" w:eastAsia="仿宋_GB2312" w:cs="仿宋_GB2312"/>
                <w:b/>
                <w:i w:val="0"/>
                <w:iCs w:val="0"/>
                <w:color w:val="000000"/>
                <w:kern w:val="0"/>
                <w:sz w:val="24"/>
                <w:szCs w:val="24"/>
                <w:u w:val="none"/>
                <w:lang w:val="en-US" w:eastAsia="zh-CN" w:bidi="ar"/>
              </w:rPr>
              <w:t>0.77</w:t>
            </w:r>
          </w:p>
        </w:tc>
        <w:tc>
          <w:tcPr>
            <w:tcW w:w="1301" w:type="dxa"/>
            <w:tcBorders>
              <w:top w:val="single" w:color="auto" w:sz="4" w:space="0"/>
              <w:left w:val="single" w:color="auto" w:sz="4" w:space="0"/>
              <w:bottom w:val="single" w:color="auto" w:sz="4" w:space="0"/>
              <w:right w:val="single" w:color="auto" w:sz="4" w:space="0"/>
            </w:tcBorders>
            <w:vAlign w:val="center"/>
          </w:tcPr>
          <w:p w14:paraId="1307530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i w:val="0"/>
                <w:iCs w:val="0"/>
                <w:color w:val="000000"/>
                <w:kern w:val="0"/>
                <w:sz w:val="24"/>
                <w:szCs w:val="24"/>
                <w:u w:val="none"/>
                <w:lang w:val="en-US" w:eastAsia="zh-CN" w:bidi="ar"/>
              </w:rPr>
            </w:pPr>
            <w:r>
              <w:rPr>
                <w:rFonts w:hint="eastAsia" w:ascii="仿宋_GB2312" w:hAnsi="仿宋_GB2312" w:eastAsia="仿宋_GB2312" w:cs="仿宋_GB2312"/>
                <w:b/>
                <w:i w:val="0"/>
                <w:iCs w:val="0"/>
                <w:color w:val="000000"/>
                <w:kern w:val="0"/>
                <w:sz w:val="24"/>
                <w:szCs w:val="24"/>
                <w:u w:val="none"/>
                <w:lang w:val="en-US" w:eastAsia="zh-CN" w:bidi="ar"/>
              </w:rPr>
              <w:t>1.65</w:t>
            </w:r>
          </w:p>
        </w:tc>
        <w:tc>
          <w:tcPr>
            <w:tcW w:w="1263" w:type="dxa"/>
            <w:tcBorders>
              <w:top w:val="single" w:color="auto" w:sz="4" w:space="0"/>
              <w:left w:val="single" w:color="auto" w:sz="4" w:space="0"/>
              <w:bottom w:val="single" w:color="auto" w:sz="4" w:space="0"/>
              <w:right w:val="single" w:color="auto" w:sz="4" w:space="0"/>
            </w:tcBorders>
            <w:vAlign w:val="center"/>
          </w:tcPr>
          <w:p w14:paraId="0D64EE5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b/>
                <w:i w:val="0"/>
                <w:iCs w:val="0"/>
                <w:color w:val="000000"/>
                <w:kern w:val="0"/>
                <w:sz w:val="24"/>
                <w:szCs w:val="24"/>
                <w:u w:val="none"/>
                <w:lang w:val="en-US" w:eastAsia="zh-CN" w:bidi="ar"/>
              </w:rPr>
            </w:pPr>
            <w:r>
              <w:rPr>
                <w:rFonts w:hint="eastAsia" w:ascii="仿宋_GB2312" w:hAnsi="仿宋_GB2312" w:eastAsia="仿宋_GB2312" w:cs="仿宋_GB2312"/>
                <w:b/>
                <w:i w:val="0"/>
                <w:iCs w:val="0"/>
                <w:color w:val="000000"/>
                <w:kern w:val="0"/>
                <w:sz w:val="24"/>
                <w:szCs w:val="24"/>
                <w:u w:val="none"/>
                <w:lang w:val="en-US" w:eastAsia="zh-CN" w:bidi="ar"/>
              </w:rPr>
              <w:t>8.02</w:t>
            </w:r>
          </w:p>
        </w:tc>
      </w:tr>
      <w:tr w14:paraId="1C62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989" w:type="dxa"/>
            <w:gridSpan w:val="2"/>
            <w:tcBorders>
              <w:top w:val="single" w:color="auto" w:sz="4" w:space="0"/>
              <w:left w:val="single" w:color="auto" w:sz="4" w:space="0"/>
              <w:bottom w:val="single" w:color="auto" w:sz="4" w:space="0"/>
              <w:right w:val="single" w:color="auto" w:sz="4" w:space="0"/>
            </w:tcBorders>
            <w:vAlign w:val="center"/>
          </w:tcPr>
          <w:p w14:paraId="28DEB38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标准偏差s（/）</w:t>
            </w:r>
          </w:p>
        </w:tc>
        <w:tc>
          <w:tcPr>
            <w:tcW w:w="1212" w:type="dxa"/>
            <w:tcBorders>
              <w:top w:val="single" w:color="auto" w:sz="4" w:space="0"/>
              <w:left w:val="single" w:color="auto" w:sz="4" w:space="0"/>
              <w:bottom w:val="single" w:color="auto" w:sz="4" w:space="0"/>
              <w:right w:val="single" w:color="auto" w:sz="4" w:space="0"/>
            </w:tcBorders>
            <w:vAlign w:val="center"/>
          </w:tcPr>
          <w:p w14:paraId="029B09C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 xml:space="preserve">0.035 </w:t>
            </w:r>
          </w:p>
        </w:tc>
        <w:tc>
          <w:tcPr>
            <w:tcW w:w="1297" w:type="dxa"/>
            <w:tcBorders>
              <w:top w:val="single" w:color="auto" w:sz="4" w:space="0"/>
              <w:left w:val="single" w:color="auto" w:sz="4" w:space="0"/>
              <w:bottom w:val="single" w:color="auto" w:sz="4" w:space="0"/>
              <w:right w:val="single" w:color="auto" w:sz="4" w:space="0"/>
            </w:tcBorders>
            <w:vAlign w:val="center"/>
          </w:tcPr>
          <w:p w14:paraId="10D3042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0.026</w:t>
            </w:r>
          </w:p>
        </w:tc>
        <w:tc>
          <w:tcPr>
            <w:tcW w:w="1302" w:type="dxa"/>
            <w:tcBorders>
              <w:top w:val="single" w:color="auto" w:sz="4" w:space="0"/>
              <w:left w:val="single" w:color="auto" w:sz="4" w:space="0"/>
              <w:bottom w:val="single" w:color="auto" w:sz="4" w:space="0"/>
              <w:right w:val="single" w:color="auto" w:sz="4" w:space="0"/>
            </w:tcBorders>
            <w:vAlign w:val="center"/>
          </w:tcPr>
          <w:p w14:paraId="0A53962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 xml:space="preserve">0.071 </w:t>
            </w:r>
          </w:p>
        </w:tc>
        <w:tc>
          <w:tcPr>
            <w:tcW w:w="1301" w:type="dxa"/>
            <w:tcBorders>
              <w:top w:val="single" w:color="auto" w:sz="4" w:space="0"/>
              <w:left w:val="single" w:color="auto" w:sz="4" w:space="0"/>
              <w:bottom w:val="single" w:color="auto" w:sz="4" w:space="0"/>
              <w:right w:val="single" w:color="auto" w:sz="4" w:space="0"/>
            </w:tcBorders>
            <w:vAlign w:val="center"/>
          </w:tcPr>
          <w:p w14:paraId="27E4765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0.018</w:t>
            </w:r>
          </w:p>
        </w:tc>
        <w:tc>
          <w:tcPr>
            <w:tcW w:w="1301" w:type="dxa"/>
            <w:tcBorders>
              <w:top w:val="single" w:color="auto" w:sz="4" w:space="0"/>
              <w:left w:val="single" w:color="auto" w:sz="4" w:space="0"/>
              <w:bottom w:val="single" w:color="auto" w:sz="4" w:space="0"/>
              <w:right w:val="single" w:color="auto" w:sz="4" w:space="0"/>
            </w:tcBorders>
            <w:vAlign w:val="center"/>
          </w:tcPr>
          <w:p w14:paraId="669A0F4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0.026</w:t>
            </w:r>
          </w:p>
        </w:tc>
        <w:tc>
          <w:tcPr>
            <w:tcW w:w="1263" w:type="dxa"/>
            <w:tcBorders>
              <w:top w:val="single" w:color="auto" w:sz="4" w:space="0"/>
              <w:left w:val="single" w:color="auto" w:sz="4" w:space="0"/>
              <w:bottom w:val="single" w:color="auto" w:sz="4" w:space="0"/>
              <w:right w:val="single" w:color="auto" w:sz="4" w:space="0"/>
            </w:tcBorders>
            <w:vAlign w:val="center"/>
          </w:tcPr>
          <w:p w14:paraId="7F53815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0.076</w:t>
            </w:r>
          </w:p>
        </w:tc>
      </w:tr>
      <w:tr w14:paraId="4E66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989" w:type="dxa"/>
            <w:gridSpan w:val="2"/>
            <w:tcBorders>
              <w:top w:val="single" w:color="auto" w:sz="4" w:space="0"/>
              <w:left w:val="single" w:color="auto" w:sz="4" w:space="0"/>
              <w:bottom w:val="single" w:color="auto" w:sz="4" w:space="0"/>
              <w:right w:val="single" w:color="auto" w:sz="4" w:space="0"/>
            </w:tcBorders>
            <w:vAlign w:val="center"/>
          </w:tcPr>
          <w:p w14:paraId="076DD2A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相对标准偏差（%）</w:t>
            </w:r>
          </w:p>
        </w:tc>
        <w:tc>
          <w:tcPr>
            <w:tcW w:w="1212" w:type="dxa"/>
            <w:tcBorders>
              <w:top w:val="single" w:color="auto" w:sz="4" w:space="0"/>
              <w:left w:val="single" w:color="auto" w:sz="4" w:space="0"/>
              <w:bottom w:val="single" w:color="auto" w:sz="4" w:space="0"/>
              <w:right w:val="single" w:color="auto" w:sz="4" w:space="0"/>
            </w:tcBorders>
            <w:vAlign w:val="center"/>
          </w:tcPr>
          <w:p w14:paraId="1B3632A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4.77%</w:t>
            </w:r>
          </w:p>
        </w:tc>
        <w:tc>
          <w:tcPr>
            <w:tcW w:w="1297" w:type="dxa"/>
            <w:tcBorders>
              <w:top w:val="single" w:color="auto" w:sz="4" w:space="0"/>
              <w:left w:val="single" w:color="auto" w:sz="4" w:space="0"/>
              <w:bottom w:val="single" w:color="auto" w:sz="4" w:space="0"/>
              <w:right w:val="single" w:color="auto" w:sz="4" w:space="0"/>
            </w:tcBorders>
            <w:vAlign w:val="center"/>
          </w:tcPr>
          <w:p w14:paraId="0941BAB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1.78%</w:t>
            </w:r>
          </w:p>
        </w:tc>
        <w:tc>
          <w:tcPr>
            <w:tcW w:w="1302" w:type="dxa"/>
            <w:tcBorders>
              <w:top w:val="single" w:color="auto" w:sz="4" w:space="0"/>
              <w:left w:val="single" w:color="auto" w:sz="4" w:space="0"/>
              <w:bottom w:val="single" w:color="auto" w:sz="4" w:space="0"/>
              <w:right w:val="single" w:color="auto" w:sz="4" w:space="0"/>
            </w:tcBorders>
            <w:vAlign w:val="center"/>
          </w:tcPr>
          <w:p w14:paraId="39A498A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0.93%</w:t>
            </w:r>
          </w:p>
        </w:tc>
        <w:tc>
          <w:tcPr>
            <w:tcW w:w="1301" w:type="dxa"/>
            <w:tcBorders>
              <w:top w:val="single" w:color="auto" w:sz="4" w:space="0"/>
              <w:left w:val="single" w:color="auto" w:sz="4" w:space="0"/>
              <w:bottom w:val="single" w:color="auto" w:sz="4" w:space="0"/>
              <w:right w:val="single" w:color="auto" w:sz="4" w:space="0"/>
            </w:tcBorders>
            <w:vAlign w:val="center"/>
          </w:tcPr>
          <w:p w14:paraId="5E88C71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2.34%</w:t>
            </w:r>
          </w:p>
        </w:tc>
        <w:tc>
          <w:tcPr>
            <w:tcW w:w="1301" w:type="dxa"/>
            <w:tcBorders>
              <w:top w:val="single" w:color="auto" w:sz="4" w:space="0"/>
              <w:left w:val="single" w:color="auto" w:sz="4" w:space="0"/>
              <w:bottom w:val="single" w:color="auto" w:sz="4" w:space="0"/>
              <w:right w:val="single" w:color="auto" w:sz="4" w:space="0"/>
            </w:tcBorders>
            <w:vAlign w:val="center"/>
          </w:tcPr>
          <w:p w14:paraId="4FC0E0D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1.56%</w:t>
            </w:r>
          </w:p>
        </w:tc>
        <w:tc>
          <w:tcPr>
            <w:tcW w:w="1263" w:type="dxa"/>
            <w:tcBorders>
              <w:top w:val="single" w:color="auto" w:sz="4" w:space="0"/>
              <w:left w:val="single" w:color="auto" w:sz="4" w:space="0"/>
              <w:bottom w:val="single" w:color="auto" w:sz="4" w:space="0"/>
              <w:right w:val="single" w:color="auto" w:sz="4" w:space="0"/>
            </w:tcBorders>
            <w:vAlign w:val="center"/>
          </w:tcPr>
          <w:p w14:paraId="1130729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firstLine="0" w:firstLineChars="0"/>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0.94%</w:t>
            </w:r>
          </w:p>
        </w:tc>
      </w:tr>
    </w:tbl>
    <w:p w14:paraId="7C31EFA8">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从表中可知，结果的相对标准偏差在</w:t>
      </w:r>
      <w:r>
        <w:rPr>
          <w:rFonts w:hint="eastAsia" w:ascii="仿宋_GB2312" w:hAnsi="仿宋_GB2312" w:eastAsia="仿宋_GB2312" w:cs="仿宋_GB2312"/>
          <w:b w:val="0"/>
          <w:bCs w:val="0"/>
          <w:kern w:val="2"/>
          <w:sz w:val="32"/>
          <w:szCs w:val="32"/>
          <w:lang w:val="en-US" w:eastAsia="zh-CN" w:bidi="ar-SA"/>
        </w:rPr>
        <w:t>0.94</w:t>
      </w:r>
      <w:r>
        <w:rPr>
          <w:rFonts w:hint="default" w:ascii="仿宋_GB2312" w:hAnsi="仿宋_GB2312" w:eastAsia="仿宋_GB2312" w:cs="仿宋_GB2312"/>
          <w:b w:val="0"/>
          <w:bCs w:val="0"/>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-4.77</w:t>
      </w:r>
      <w:r>
        <w:rPr>
          <w:rFonts w:hint="default" w:ascii="仿宋_GB2312" w:hAnsi="仿宋_GB2312" w:eastAsia="仿宋_GB2312" w:cs="仿宋_GB2312"/>
          <w:b w:val="0"/>
          <w:bCs w:val="0"/>
          <w:kern w:val="2"/>
          <w:sz w:val="32"/>
          <w:szCs w:val="32"/>
          <w:lang w:val="en-US" w:eastAsia="zh-CN" w:bidi="ar-SA"/>
        </w:rPr>
        <w:t>%之间，精密度符合要求。</w:t>
      </w:r>
    </w:p>
    <w:p w14:paraId="1329800C">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表</w:t>
      </w:r>
      <w:r>
        <w:rPr>
          <w:rFonts w:hint="eastAsia" w:ascii="仿宋_GB2312" w:hAnsi="仿宋_GB2312" w:eastAsia="仿宋_GB2312" w:cs="仿宋_GB2312"/>
          <w:b w:val="0"/>
          <w:bCs w:val="0"/>
          <w:sz w:val="28"/>
          <w:szCs w:val="28"/>
          <w:lang w:val="en-US" w:eastAsia="zh-CN"/>
        </w:rPr>
        <w:t>10</w:t>
      </w:r>
      <w:r>
        <w:rPr>
          <w:rFonts w:hint="default" w:ascii="仿宋_GB2312" w:hAnsi="仿宋_GB2312" w:eastAsia="仿宋_GB2312" w:cs="仿宋_GB2312"/>
          <w:b w:val="0"/>
          <w:bCs w:val="0"/>
          <w:sz w:val="28"/>
          <w:szCs w:val="28"/>
          <w:lang w:val="en-US" w:eastAsia="zh-CN"/>
        </w:rPr>
        <w:t xml:space="preserve"> 加标回收率测试结果</w:t>
      </w:r>
    </w:p>
    <w:tbl>
      <w:tblPr>
        <w:tblStyle w:val="7"/>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0" w:type="dxa"/>
          <w:left w:w="64" w:type="dxa"/>
          <w:bottom w:w="40" w:type="dxa"/>
          <w:right w:w="64" w:type="dxa"/>
        </w:tblCellMar>
      </w:tblPr>
      <w:tblGrid>
        <w:gridCol w:w="1396"/>
        <w:gridCol w:w="545"/>
        <w:gridCol w:w="1301"/>
        <w:gridCol w:w="1298"/>
        <w:gridCol w:w="1302"/>
        <w:gridCol w:w="1300"/>
        <w:gridCol w:w="1301"/>
        <w:gridCol w:w="1308"/>
      </w:tblGrid>
      <w:tr w14:paraId="2F24B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tblHeader/>
          <w:jc w:val="center"/>
        </w:trPr>
        <w:tc>
          <w:tcPr>
            <w:tcW w:w="1941" w:type="dxa"/>
            <w:gridSpan w:val="2"/>
            <w:vMerge w:val="restart"/>
            <w:tcBorders>
              <w:top w:val="single" w:color="auto" w:sz="4" w:space="0"/>
              <w:left w:val="single" w:color="auto" w:sz="4" w:space="0"/>
              <w:bottom w:val="single" w:color="auto" w:sz="4" w:space="0"/>
              <w:right w:val="single" w:color="auto" w:sz="4" w:space="0"/>
            </w:tcBorders>
            <w:vAlign w:val="center"/>
          </w:tcPr>
          <w:p w14:paraId="1EB40C9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color w:val="000000"/>
                <w:sz w:val="24"/>
                <w:szCs w:val="24"/>
                <w:lang w:eastAsia="zh-CN"/>
              </w:rPr>
            </w:pPr>
            <w:r>
              <w:rPr>
                <w:rFonts w:hint="default" w:ascii="仿宋_GB2312" w:hAnsi="仿宋_GB2312" w:eastAsia="仿宋_GB2312" w:cs="仿宋_GB2312"/>
                <w:b/>
                <w:color w:val="000000"/>
                <w:sz w:val="24"/>
                <w:szCs w:val="24"/>
                <w:lang w:eastAsia="zh-CN"/>
              </w:rPr>
              <w:t>检测指标</w:t>
            </w:r>
          </w:p>
        </w:tc>
        <w:tc>
          <w:tcPr>
            <w:tcW w:w="3901" w:type="dxa"/>
            <w:gridSpan w:val="3"/>
            <w:tcBorders>
              <w:top w:val="single" w:color="auto" w:sz="4" w:space="0"/>
              <w:left w:val="single" w:color="auto" w:sz="4" w:space="0"/>
              <w:bottom w:val="single" w:color="auto" w:sz="4" w:space="0"/>
              <w:right w:val="single" w:color="auto" w:sz="4" w:space="0"/>
            </w:tcBorders>
            <w:vAlign w:val="center"/>
          </w:tcPr>
          <w:p w14:paraId="7C53B65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color w:val="000000"/>
                <w:sz w:val="24"/>
                <w:szCs w:val="24"/>
                <w:lang w:eastAsia="zh-CN"/>
              </w:rPr>
            </w:pPr>
            <w:r>
              <w:rPr>
                <w:rFonts w:hint="default" w:ascii="仿宋_GB2312" w:hAnsi="仿宋_GB2312" w:eastAsia="仿宋_GB2312" w:cs="仿宋_GB2312"/>
                <w:b/>
                <w:color w:val="000000"/>
                <w:sz w:val="24"/>
                <w:szCs w:val="24"/>
                <w:lang w:val="en-US" w:eastAsia="zh-CN"/>
              </w:rPr>
              <w:t>榴莲皮的碱性嫩黄</w:t>
            </w:r>
          </w:p>
        </w:tc>
        <w:tc>
          <w:tcPr>
            <w:tcW w:w="3909" w:type="dxa"/>
            <w:gridSpan w:val="3"/>
            <w:tcBorders>
              <w:top w:val="single" w:color="auto" w:sz="4" w:space="0"/>
              <w:left w:val="single" w:color="auto" w:sz="4" w:space="0"/>
              <w:bottom w:val="single" w:color="auto" w:sz="4" w:space="0"/>
              <w:right w:val="single" w:color="auto" w:sz="4" w:space="0"/>
            </w:tcBorders>
            <w:vAlign w:val="center"/>
          </w:tcPr>
          <w:p w14:paraId="42D9A83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color w:val="000000"/>
                <w:sz w:val="24"/>
                <w:szCs w:val="24"/>
                <w:lang w:eastAsia="zh-CN"/>
              </w:rPr>
            </w:pPr>
            <w:r>
              <w:rPr>
                <w:rFonts w:hint="default" w:ascii="仿宋_GB2312" w:hAnsi="仿宋_GB2312" w:eastAsia="仿宋_GB2312" w:cs="仿宋_GB2312"/>
                <w:b/>
                <w:color w:val="000000"/>
                <w:sz w:val="24"/>
                <w:szCs w:val="24"/>
                <w:lang w:val="en-US" w:eastAsia="zh-CN"/>
              </w:rPr>
              <w:t>榴莲肉的碱性嫩黄</w:t>
            </w:r>
          </w:p>
        </w:tc>
      </w:tr>
      <w:tr w14:paraId="4A951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tblHeader/>
          <w:jc w:val="center"/>
        </w:trPr>
        <w:tc>
          <w:tcPr>
            <w:tcW w:w="1941" w:type="dxa"/>
            <w:gridSpan w:val="2"/>
            <w:vMerge w:val="continue"/>
            <w:tcBorders>
              <w:top w:val="single" w:color="auto" w:sz="4" w:space="0"/>
              <w:left w:val="single" w:color="auto" w:sz="4" w:space="0"/>
              <w:bottom w:val="single" w:color="auto" w:sz="4" w:space="0"/>
              <w:right w:val="single" w:color="auto" w:sz="4" w:space="0"/>
            </w:tcBorders>
            <w:vAlign w:val="center"/>
          </w:tcPr>
          <w:p w14:paraId="01ADE870">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color w:val="000000"/>
                <w:sz w:val="24"/>
                <w:szCs w:val="24"/>
                <w:lang w:eastAsia="zh-CN"/>
              </w:rPr>
            </w:pPr>
          </w:p>
        </w:tc>
        <w:tc>
          <w:tcPr>
            <w:tcW w:w="1301" w:type="dxa"/>
            <w:tcBorders>
              <w:top w:val="single" w:color="auto" w:sz="4" w:space="0"/>
              <w:left w:val="single" w:color="auto" w:sz="4" w:space="0"/>
              <w:bottom w:val="single" w:color="auto" w:sz="4" w:space="0"/>
              <w:right w:val="single" w:color="auto" w:sz="4" w:space="0"/>
            </w:tcBorders>
            <w:vAlign w:val="center"/>
          </w:tcPr>
          <w:p w14:paraId="07BABF4C">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color w:val="000000"/>
                <w:sz w:val="24"/>
                <w:szCs w:val="24"/>
                <w:lang w:eastAsia="zh-CN"/>
              </w:rPr>
            </w:pPr>
            <w:r>
              <w:rPr>
                <w:rFonts w:hint="default" w:ascii="仿宋_GB2312" w:hAnsi="仿宋_GB2312" w:eastAsia="仿宋_GB2312" w:cs="仿宋_GB2312"/>
                <w:b/>
                <w:color w:val="000000"/>
                <w:sz w:val="24"/>
                <w:szCs w:val="24"/>
                <w:lang w:eastAsia="zh-CN"/>
              </w:rPr>
              <w:t>低浓度加标</w:t>
            </w:r>
          </w:p>
        </w:tc>
        <w:tc>
          <w:tcPr>
            <w:tcW w:w="1298" w:type="dxa"/>
            <w:tcBorders>
              <w:top w:val="single" w:color="auto" w:sz="4" w:space="0"/>
              <w:left w:val="single" w:color="auto" w:sz="4" w:space="0"/>
              <w:bottom w:val="single" w:color="auto" w:sz="4" w:space="0"/>
              <w:right w:val="single" w:color="auto" w:sz="4" w:space="0"/>
            </w:tcBorders>
            <w:vAlign w:val="center"/>
          </w:tcPr>
          <w:p w14:paraId="2249795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color w:val="000000"/>
                <w:sz w:val="24"/>
                <w:szCs w:val="24"/>
                <w:lang w:eastAsia="zh-CN"/>
              </w:rPr>
            </w:pPr>
            <w:r>
              <w:rPr>
                <w:rFonts w:hint="default" w:ascii="仿宋_GB2312" w:hAnsi="仿宋_GB2312" w:eastAsia="仿宋_GB2312" w:cs="仿宋_GB2312"/>
                <w:b/>
                <w:color w:val="000000"/>
                <w:sz w:val="24"/>
                <w:szCs w:val="24"/>
                <w:lang w:eastAsia="zh-CN"/>
              </w:rPr>
              <w:t>中浓度加标</w:t>
            </w:r>
          </w:p>
        </w:tc>
        <w:tc>
          <w:tcPr>
            <w:tcW w:w="1302" w:type="dxa"/>
            <w:tcBorders>
              <w:top w:val="single" w:color="auto" w:sz="4" w:space="0"/>
              <w:left w:val="single" w:color="auto" w:sz="4" w:space="0"/>
              <w:bottom w:val="single" w:color="auto" w:sz="4" w:space="0"/>
              <w:right w:val="single" w:color="auto" w:sz="4" w:space="0"/>
            </w:tcBorders>
            <w:vAlign w:val="center"/>
          </w:tcPr>
          <w:p w14:paraId="77C0C7F3">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color w:val="000000"/>
                <w:sz w:val="24"/>
                <w:szCs w:val="24"/>
                <w:lang w:eastAsia="zh-CN"/>
              </w:rPr>
            </w:pPr>
            <w:r>
              <w:rPr>
                <w:rFonts w:hint="default" w:ascii="仿宋_GB2312" w:hAnsi="仿宋_GB2312" w:eastAsia="仿宋_GB2312" w:cs="仿宋_GB2312"/>
                <w:b/>
                <w:color w:val="000000"/>
                <w:sz w:val="24"/>
                <w:szCs w:val="24"/>
                <w:lang w:eastAsia="zh-CN"/>
              </w:rPr>
              <w:t>高浓度加标</w:t>
            </w:r>
          </w:p>
        </w:tc>
        <w:tc>
          <w:tcPr>
            <w:tcW w:w="1300" w:type="dxa"/>
            <w:tcBorders>
              <w:top w:val="single" w:color="auto" w:sz="4" w:space="0"/>
              <w:left w:val="single" w:color="auto" w:sz="4" w:space="0"/>
              <w:bottom w:val="single" w:color="auto" w:sz="4" w:space="0"/>
              <w:right w:val="single" w:color="auto" w:sz="4" w:space="0"/>
            </w:tcBorders>
            <w:vAlign w:val="center"/>
          </w:tcPr>
          <w:p w14:paraId="3F1E450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color w:val="000000"/>
                <w:sz w:val="24"/>
                <w:szCs w:val="24"/>
                <w:lang w:eastAsia="zh-CN"/>
              </w:rPr>
            </w:pPr>
            <w:r>
              <w:rPr>
                <w:rFonts w:hint="default" w:ascii="仿宋_GB2312" w:hAnsi="仿宋_GB2312" w:eastAsia="仿宋_GB2312" w:cs="仿宋_GB2312"/>
                <w:b/>
                <w:color w:val="000000"/>
                <w:sz w:val="24"/>
                <w:szCs w:val="24"/>
                <w:lang w:eastAsia="zh-CN"/>
              </w:rPr>
              <w:t>低浓度加标</w:t>
            </w:r>
          </w:p>
        </w:tc>
        <w:tc>
          <w:tcPr>
            <w:tcW w:w="1301" w:type="dxa"/>
            <w:tcBorders>
              <w:top w:val="single" w:color="auto" w:sz="4" w:space="0"/>
              <w:left w:val="single" w:color="auto" w:sz="4" w:space="0"/>
              <w:bottom w:val="single" w:color="auto" w:sz="4" w:space="0"/>
              <w:right w:val="single" w:color="auto" w:sz="4" w:space="0"/>
            </w:tcBorders>
            <w:vAlign w:val="center"/>
          </w:tcPr>
          <w:p w14:paraId="31F71AA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color w:val="000000"/>
                <w:sz w:val="24"/>
                <w:szCs w:val="24"/>
                <w:lang w:eastAsia="zh-CN"/>
              </w:rPr>
            </w:pPr>
            <w:r>
              <w:rPr>
                <w:rFonts w:hint="default" w:ascii="仿宋_GB2312" w:hAnsi="仿宋_GB2312" w:eastAsia="仿宋_GB2312" w:cs="仿宋_GB2312"/>
                <w:b/>
                <w:color w:val="000000"/>
                <w:sz w:val="24"/>
                <w:szCs w:val="24"/>
                <w:lang w:eastAsia="zh-CN"/>
              </w:rPr>
              <w:t>中浓度加标</w:t>
            </w:r>
          </w:p>
        </w:tc>
        <w:tc>
          <w:tcPr>
            <w:tcW w:w="1308" w:type="dxa"/>
            <w:tcBorders>
              <w:top w:val="single" w:color="auto" w:sz="4" w:space="0"/>
              <w:left w:val="single" w:color="auto" w:sz="4" w:space="0"/>
              <w:bottom w:val="single" w:color="auto" w:sz="4" w:space="0"/>
              <w:right w:val="single" w:color="auto" w:sz="4" w:space="0"/>
            </w:tcBorders>
            <w:vAlign w:val="center"/>
          </w:tcPr>
          <w:p w14:paraId="5E28370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color w:val="000000"/>
                <w:sz w:val="24"/>
                <w:szCs w:val="24"/>
                <w:lang w:eastAsia="zh-CN"/>
              </w:rPr>
            </w:pPr>
            <w:r>
              <w:rPr>
                <w:rFonts w:hint="default" w:ascii="仿宋_GB2312" w:hAnsi="仿宋_GB2312" w:eastAsia="仿宋_GB2312" w:cs="仿宋_GB2312"/>
                <w:b/>
                <w:color w:val="000000"/>
                <w:sz w:val="24"/>
                <w:szCs w:val="24"/>
                <w:lang w:eastAsia="zh-CN"/>
              </w:rPr>
              <w:t>高浓度加标</w:t>
            </w:r>
          </w:p>
        </w:tc>
      </w:tr>
      <w:tr w14:paraId="446A5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14:paraId="2B340C10">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eastAsia="zh-CN"/>
              </w:rPr>
              <w:t>平行测定结果</w:t>
            </w:r>
          </w:p>
          <w:p w14:paraId="06BF7FA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eastAsia="zh-CN"/>
              </w:rPr>
              <w:t>（</w:t>
            </w:r>
            <w:r>
              <w:rPr>
                <w:rFonts w:hint="default" w:ascii="仿宋_GB2312" w:hAnsi="仿宋_GB2312" w:eastAsia="仿宋_GB2312" w:cs="仿宋_GB2312"/>
                <w:b w:val="0"/>
                <w:bCs/>
                <w:color w:val="000000"/>
                <w:sz w:val="24"/>
                <w:szCs w:val="24"/>
                <w:lang w:val="en-US" w:eastAsia="zh-CN"/>
              </w:rPr>
              <w:t>ng</w:t>
            </w:r>
            <w:r>
              <w:rPr>
                <w:rFonts w:hint="default" w:ascii="仿宋_GB2312" w:hAnsi="仿宋_GB2312" w:eastAsia="仿宋_GB2312" w:cs="仿宋_GB2312"/>
                <w:b w:val="0"/>
                <w:bCs/>
                <w:color w:val="000000"/>
                <w:sz w:val="24"/>
                <w:szCs w:val="24"/>
                <w:lang w:eastAsia="zh-CN"/>
              </w:rPr>
              <w:t>）</w:t>
            </w:r>
          </w:p>
        </w:tc>
        <w:tc>
          <w:tcPr>
            <w:tcW w:w="545" w:type="dxa"/>
            <w:tcBorders>
              <w:top w:val="single" w:color="auto" w:sz="4" w:space="0"/>
              <w:left w:val="single" w:color="auto" w:sz="4" w:space="0"/>
              <w:bottom w:val="single" w:color="auto" w:sz="4" w:space="0"/>
              <w:right w:val="single" w:color="auto" w:sz="4" w:space="0"/>
            </w:tcBorders>
            <w:vAlign w:val="center"/>
          </w:tcPr>
          <w:p w14:paraId="7B9017B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eastAsia="zh-CN"/>
              </w:rPr>
              <w:t>1</w:t>
            </w:r>
          </w:p>
        </w:tc>
        <w:tc>
          <w:tcPr>
            <w:tcW w:w="1301" w:type="dxa"/>
            <w:tcBorders>
              <w:top w:val="single" w:color="auto" w:sz="4" w:space="0"/>
              <w:left w:val="single" w:color="auto" w:sz="4" w:space="0"/>
              <w:bottom w:val="single" w:color="auto" w:sz="4" w:space="0"/>
              <w:right w:val="single" w:color="auto" w:sz="4" w:space="0"/>
            </w:tcBorders>
            <w:vAlign w:val="bottom"/>
          </w:tcPr>
          <w:p w14:paraId="61EA5AE3">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0.77</w:t>
            </w:r>
          </w:p>
        </w:tc>
        <w:tc>
          <w:tcPr>
            <w:tcW w:w="1298" w:type="dxa"/>
            <w:tcBorders>
              <w:top w:val="single" w:color="auto" w:sz="4" w:space="0"/>
              <w:left w:val="single" w:color="auto" w:sz="4" w:space="0"/>
              <w:bottom w:val="single" w:color="auto" w:sz="4" w:space="0"/>
              <w:right w:val="single" w:color="auto" w:sz="4" w:space="0"/>
            </w:tcBorders>
            <w:vAlign w:val="bottom"/>
          </w:tcPr>
          <w:p w14:paraId="76AD921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1.46</w:t>
            </w:r>
          </w:p>
        </w:tc>
        <w:tc>
          <w:tcPr>
            <w:tcW w:w="1302" w:type="dxa"/>
            <w:tcBorders>
              <w:top w:val="single" w:color="auto" w:sz="4" w:space="0"/>
              <w:left w:val="single" w:color="auto" w:sz="4" w:space="0"/>
              <w:bottom w:val="single" w:color="auto" w:sz="4" w:space="0"/>
              <w:right w:val="single" w:color="auto" w:sz="4" w:space="0"/>
            </w:tcBorders>
            <w:vAlign w:val="bottom"/>
          </w:tcPr>
          <w:p w14:paraId="7BCACEE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7.54</w:t>
            </w:r>
          </w:p>
        </w:tc>
        <w:tc>
          <w:tcPr>
            <w:tcW w:w="1300" w:type="dxa"/>
            <w:tcBorders>
              <w:top w:val="single" w:color="auto" w:sz="4" w:space="0"/>
              <w:left w:val="single" w:color="auto" w:sz="4" w:space="0"/>
              <w:bottom w:val="single" w:color="auto" w:sz="4" w:space="0"/>
              <w:right w:val="single" w:color="auto" w:sz="4" w:space="0"/>
            </w:tcBorders>
            <w:vAlign w:val="bottom"/>
          </w:tcPr>
          <w:p w14:paraId="4E17906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0.78</w:t>
            </w:r>
          </w:p>
        </w:tc>
        <w:tc>
          <w:tcPr>
            <w:tcW w:w="1301" w:type="dxa"/>
            <w:tcBorders>
              <w:top w:val="single" w:color="auto" w:sz="4" w:space="0"/>
              <w:left w:val="single" w:color="auto" w:sz="4" w:space="0"/>
              <w:bottom w:val="single" w:color="auto" w:sz="4" w:space="0"/>
              <w:right w:val="single" w:color="auto" w:sz="4" w:space="0"/>
            </w:tcBorders>
            <w:vAlign w:val="bottom"/>
          </w:tcPr>
          <w:p w14:paraId="759C5DFC">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1.65</w:t>
            </w:r>
          </w:p>
        </w:tc>
        <w:tc>
          <w:tcPr>
            <w:tcW w:w="1308" w:type="dxa"/>
            <w:tcBorders>
              <w:top w:val="single" w:color="auto" w:sz="4" w:space="0"/>
              <w:left w:val="single" w:color="auto" w:sz="4" w:space="0"/>
              <w:bottom w:val="single" w:color="auto" w:sz="4" w:space="0"/>
              <w:right w:val="single" w:color="auto" w:sz="4" w:space="0"/>
            </w:tcBorders>
            <w:vAlign w:val="bottom"/>
          </w:tcPr>
          <w:p w14:paraId="46F4E49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7.94</w:t>
            </w:r>
          </w:p>
        </w:tc>
      </w:tr>
      <w:tr w14:paraId="4C395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14:paraId="6DE455A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p>
        </w:tc>
        <w:tc>
          <w:tcPr>
            <w:tcW w:w="545" w:type="dxa"/>
            <w:tcBorders>
              <w:top w:val="single" w:color="auto" w:sz="4" w:space="0"/>
              <w:left w:val="single" w:color="auto" w:sz="4" w:space="0"/>
              <w:bottom w:val="single" w:color="auto" w:sz="4" w:space="0"/>
              <w:right w:val="single" w:color="auto" w:sz="4" w:space="0"/>
            </w:tcBorders>
            <w:vAlign w:val="center"/>
          </w:tcPr>
          <w:p w14:paraId="6BB6244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eastAsia="zh-CN"/>
              </w:rPr>
              <w:t>2</w:t>
            </w:r>
          </w:p>
        </w:tc>
        <w:tc>
          <w:tcPr>
            <w:tcW w:w="1301" w:type="dxa"/>
            <w:tcBorders>
              <w:top w:val="single" w:color="auto" w:sz="4" w:space="0"/>
              <w:left w:val="single" w:color="auto" w:sz="4" w:space="0"/>
              <w:bottom w:val="single" w:color="auto" w:sz="4" w:space="0"/>
              <w:right w:val="single" w:color="auto" w:sz="4" w:space="0"/>
            </w:tcBorders>
            <w:vAlign w:val="bottom"/>
          </w:tcPr>
          <w:p w14:paraId="459BB94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0.75</w:t>
            </w:r>
          </w:p>
        </w:tc>
        <w:tc>
          <w:tcPr>
            <w:tcW w:w="1298" w:type="dxa"/>
            <w:tcBorders>
              <w:top w:val="single" w:color="auto" w:sz="4" w:space="0"/>
              <w:left w:val="single" w:color="auto" w:sz="4" w:space="0"/>
              <w:bottom w:val="single" w:color="auto" w:sz="4" w:space="0"/>
              <w:right w:val="single" w:color="auto" w:sz="4" w:space="0"/>
            </w:tcBorders>
            <w:vAlign w:val="bottom"/>
          </w:tcPr>
          <w:p w14:paraId="02208748">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1.45</w:t>
            </w:r>
          </w:p>
        </w:tc>
        <w:tc>
          <w:tcPr>
            <w:tcW w:w="1302" w:type="dxa"/>
            <w:tcBorders>
              <w:top w:val="single" w:color="auto" w:sz="4" w:space="0"/>
              <w:left w:val="single" w:color="auto" w:sz="4" w:space="0"/>
              <w:bottom w:val="single" w:color="auto" w:sz="4" w:space="0"/>
              <w:right w:val="single" w:color="auto" w:sz="4" w:space="0"/>
            </w:tcBorders>
            <w:vAlign w:val="bottom"/>
          </w:tcPr>
          <w:p w14:paraId="34F2937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7.63</w:t>
            </w:r>
          </w:p>
        </w:tc>
        <w:tc>
          <w:tcPr>
            <w:tcW w:w="1300" w:type="dxa"/>
            <w:tcBorders>
              <w:top w:val="single" w:color="auto" w:sz="4" w:space="0"/>
              <w:left w:val="single" w:color="auto" w:sz="4" w:space="0"/>
              <w:bottom w:val="single" w:color="auto" w:sz="4" w:space="0"/>
              <w:right w:val="single" w:color="auto" w:sz="4" w:space="0"/>
            </w:tcBorders>
            <w:vAlign w:val="bottom"/>
          </w:tcPr>
          <w:p w14:paraId="4734B1F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0.79</w:t>
            </w:r>
          </w:p>
        </w:tc>
        <w:tc>
          <w:tcPr>
            <w:tcW w:w="1301" w:type="dxa"/>
            <w:tcBorders>
              <w:top w:val="single" w:color="auto" w:sz="4" w:space="0"/>
              <w:left w:val="single" w:color="auto" w:sz="4" w:space="0"/>
              <w:bottom w:val="single" w:color="auto" w:sz="4" w:space="0"/>
              <w:right w:val="single" w:color="auto" w:sz="4" w:space="0"/>
            </w:tcBorders>
            <w:vAlign w:val="bottom"/>
          </w:tcPr>
          <w:p w14:paraId="479AA1F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1.63</w:t>
            </w:r>
          </w:p>
        </w:tc>
        <w:tc>
          <w:tcPr>
            <w:tcW w:w="1308" w:type="dxa"/>
            <w:tcBorders>
              <w:top w:val="single" w:color="auto" w:sz="4" w:space="0"/>
              <w:left w:val="single" w:color="auto" w:sz="4" w:space="0"/>
              <w:bottom w:val="single" w:color="auto" w:sz="4" w:space="0"/>
              <w:right w:val="single" w:color="auto" w:sz="4" w:space="0"/>
            </w:tcBorders>
            <w:vAlign w:val="bottom"/>
          </w:tcPr>
          <w:p w14:paraId="42B135D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7.89</w:t>
            </w:r>
          </w:p>
        </w:tc>
      </w:tr>
      <w:tr w14:paraId="12A8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14:paraId="2D326C9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p>
        </w:tc>
        <w:tc>
          <w:tcPr>
            <w:tcW w:w="545" w:type="dxa"/>
            <w:tcBorders>
              <w:top w:val="single" w:color="auto" w:sz="4" w:space="0"/>
              <w:left w:val="single" w:color="auto" w:sz="4" w:space="0"/>
              <w:bottom w:val="single" w:color="auto" w:sz="4" w:space="0"/>
              <w:right w:val="single" w:color="auto" w:sz="4" w:space="0"/>
            </w:tcBorders>
            <w:vAlign w:val="center"/>
          </w:tcPr>
          <w:p w14:paraId="027D917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eastAsia="zh-CN"/>
              </w:rPr>
              <w:t>3</w:t>
            </w:r>
          </w:p>
        </w:tc>
        <w:tc>
          <w:tcPr>
            <w:tcW w:w="1301" w:type="dxa"/>
            <w:tcBorders>
              <w:top w:val="single" w:color="auto" w:sz="4" w:space="0"/>
              <w:left w:val="single" w:color="auto" w:sz="4" w:space="0"/>
              <w:bottom w:val="single" w:color="auto" w:sz="4" w:space="0"/>
              <w:right w:val="single" w:color="auto" w:sz="4" w:space="0"/>
            </w:tcBorders>
            <w:vAlign w:val="bottom"/>
          </w:tcPr>
          <w:p w14:paraId="264322B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w:t>
            </w:r>
          </w:p>
        </w:tc>
        <w:tc>
          <w:tcPr>
            <w:tcW w:w="1298" w:type="dxa"/>
            <w:tcBorders>
              <w:top w:val="single" w:color="auto" w:sz="4" w:space="0"/>
              <w:left w:val="single" w:color="auto" w:sz="4" w:space="0"/>
              <w:bottom w:val="single" w:color="auto" w:sz="4" w:space="0"/>
              <w:right w:val="single" w:color="auto" w:sz="4" w:space="0"/>
            </w:tcBorders>
            <w:vAlign w:val="bottom"/>
          </w:tcPr>
          <w:p w14:paraId="7897395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1.47</w:t>
            </w:r>
          </w:p>
        </w:tc>
        <w:tc>
          <w:tcPr>
            <w:tcW w:w="1302" w:type="dxa"/>
            <w:tcBorders>
              <w:top w:val="single" w:color="auto" w:sz="4" w:space="0"/>
              <w:left w:val="single" w:color="auto" w:sz="4" w:space="0"/>
              <w:bottom w:val="single" w:color="auto" w:sz="4" w:space="0"/>
              <w:right w:val="single" w:color="auto" w:sz="4" w:space="0"/>
            </w:tcBorders>
            <w:vAlign w:val="bottom"/>
          </w:tcPr>
          <w:p w14:paraId="5C80C428">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7.73</w:t>
            </w:r>
          </w:p>
        </w:tc>
        <w:tc>
          <w:tcPr>
            <w:tcW w:w="1300" w:type="dxa"/>
            <w:tcBorders>
              <w:top w:val="single" w:color="auto" w:sz="4" w:space="0"/>
              <w:left w:val="single" w:color="auto" w:sz="4" w:space="0"/>
              <w:bottom w:val="single" w:color="auto" w:sz="4" w:space="0"/>
              <w:right w:val="single" w:color="auto" w:sz="4" w:space="0"/>
            </w:tcBorders>
            <w:vAlign w:val="bottom"/>
          </w:tcPr>
          <w:p w14:paraId="7390EDE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0.78</w:t>
            </w:r>
          </w:p>
        </w:tc>
        <w:tc>
          <w:tcPr>
            <w:tcW w:w="1301" w:type="dxa"/>
            <w:tcBorders>
              <w:top w:val="single" w:color="auto" w:sz="4" w:space="0"/>
              <w:left w:val="single" w:color="auto" w:sz="4" w:space="0"/>
              <w:bottom w:val="single" w:color="auto" w:sz="4" w:space="0"/>
              <w:right w:val="single" w:color="auto" w:sz="4" w:space="0"/>
            </w:tcBorders>
            <w:vAlign w:val="bottom"/>
          </w:tcPr>
          <w:p w14:paraId="08D347A8">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1.62</w:t>
            </w:r>
          </w:p>
        </w:tc>
        <w:tc>
          <w:tcPr>
            <w:tcW w:w="1308" w:type="dxa"/>
            <w:tcBorders>
              <w:top w:val="single" w:color="auto" w:sz="4" w:space="0"/>
              <w:left w:val="single" w:color="auto" w:sz="4" w:space="0"/>
              <w:bottom w:val="single" w:color="auto" w:sz="4" w:space="0"/>
              <w:right w:val="single" w:color="auto" w:sz="4" w:space="0"/>
            </w:tcBorders>
            <w:vAlign w:val="bottom"/>
          </w:tcPr>
          <w:p w14:paraId="29D0105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8.07</w:t>
            </w:r>
          </w:p>
        </w:tc>
      </w:tr>
      <w:tr w14:paraId="6C03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14:paraId="752B1FE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p>
        </w:tc>
        <w:tc>
          <w:tcPr>
            <w:tcW w:w="545" w:type="dxa"/>
            <w:tcBorders>
              <w:top w:val="single" w:color="auto" w:sz="4" w:space="0"/>
              <w:left w:val="single" w:color="auto" w:sz="4" w:space="0"/>
              <w:bottom w:val="single" w:color="auto" w:sz="4" w:space="0"/>
              <w:right w:val="single" w:color="auto" w:sz="4" w:space="0"/>
            </w:tcBorders>
            <w:vAlign w:val="center"/>
          </w:tcPr>
          <w:p w14:paraId="1273E73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eastAsia="zh-CN"/>
              </w:rPr>
              <w:t>4</w:t>
            </w:r>
          </w:p>
        </w:tc>
        <w:tc>
          <w:tcPr>
            <w:tcW w:w="1301" w:type="dxa"/>
            <w:tcBorders>
              <w:top w:val="single" w:color="auto" w:sz="4" w:space="0"/>
              <w:left w:val="single" w:color="auto" w:sz="4" w:space="0"/>
              <w:bottom w:val="single" w:color="auto" w:sz="4" w:space="0"/>
              <w:right w:val="single" w:color="auto" w:sz="4" w:space="0"/>
            </w:tcBorders>
            <w:vAlign w:val="bottom"/>
          </w:tcPr>
          <w:p w14:paraId="03790976">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0.68</w:t>
            </w:r>
          </w:p>
        </w:tc>
        <w:tc>
          <w:tcPr>
            <w:tcW w:w="1298" w:type="dxa"/>
            <w:tcBorders>
              <w:top w:val="single" w:color="auto" w:sz="4" w:space="0"/>
              <w:left w:val="single" w:color="auto" w:sz="4" w:space="0"/>
              <w:bottom w:val="single" w:color="auto" w:sz="4" w:space="0"/>
              <w:right w:val="single" w:color="auto" w:sz="4" w:space="0"/>
            </w:tcBorders>
            <w:vAlign w:val="bottom"/>
          </w:tcPr>
          <w:p w14:paraId="556CB25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1.48</w:t>
            </w:r>
          </w:p>
        </w:tc>
        <w:tc>
          <w:tcPr>
            <w:tcW w:w="1302" w:type="dxa"/>
            <w:tcBorders>
              <w:top w:val="single" w:color="auto" w:sz="4" w:space="0"/>
              <w:left w:val="single" w:color="auto" w:sz="4" w:space="0"/>
              <w:bottom w:val="single" w:color="auto" w:sz="4" w:space="0"/>
              <w:right w:val="single" w:color="auto" w:sz="4" w:space="0"/>
            </w:tcBorders>
            <w:vAlign w:val="bottom"/>
          </w:tcPr>
          <w:p w14:paraId="460339A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7.58</w:t>
            </w:r>
          </w:p>
        </w:tc>
        <w:tc>
          <w:tcPr>
            <w:tcW w:w="1300" w:type="dxa"/>
            <w:tcBorders>
              <w:top w:val="single" w:color="auto" w:sz="4" w:space="0"/>
              <w:left w:val="single" w:color="auto" w:sz="4" w:space="0"/>
              <w:bottom w:val="single" w:color="auto" w:sz="4" w:space="0"/>
              <w:right w:val="single" w:color="auto" w:sz="4" w:space="0"/>
            </w:tcBorders>
            <w:vAlign w:val="bottom"/>
          </w:tcPr>
          <w:p w14:paraId="0EA915F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0.80</w:t>
            </w:r>
          </w:p>
        </w:tc>
        <w:tc>
          <w:tcPr>
            <w:tcW w:w="1301" w:type="dxa"/>
            <w:tcBorders>
              <w:top w:val="single" w:color="auto" w:sz="4" w:space="0"/>
              <w:left w:val="single" w:color="auto" w:sz="4" w:space="0"/>
              <w:bottom w:val="single" w:color="auto" w:sz="4" w:space="0"/>
              <w:right w:val="single" w:color="auto" w:sz="4" w:space="0"/>
            </w:tcBorders>
            <w:vAlign w:val="bottom"/>
          </w:tcPr>
          <w:p w14:paraId="41AAA438">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1.69</w:t>
            </w:r>
          </w:p>
        </w:tc>
        <w:tc>
          <w:tcPr>
            <w:tcW w:w="1308" w:type="dxa"/>
            <w:tcBorders>
              <w:top w:val="single" w:color="auto" w:sz="4" w:space="0"/>
              <w:left w:val="single" w:color="auto" w:sz="4" w:space="0"/>
              <w:bottom w:val="single" w:color="auto" w:sz="4" w:space="0"/>
              <w:right w:val="single" w:color="auto" w:sz="4" w:space="0"/>
            </w:tcBorders>
            <w:vAlign w:val="bottom"/>
          </w:tcPr>
          <w:p w14:paraId="5D7C3EF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8.04</w:t>
            </w:r>
          </w:p>
        </w:tc>
      </w:tr>
      <w:tr w14:paraId="4D6A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14:paraId="07B00DE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p>
        </w:tc>
        <w:tc>
          <w:tcPr>
            <w:tcW w:w="545" w:type="dxa"/>
            <w:tcBorders>
              <w:top w:val="single" w:color="auto" w:sz="4" w:space="0"/>
              <w:left w:val="single" w:color="auto" w:sz="4" w:space="0"/>
              <w:bottom w:val="single" w:color="auto" w:sz="4" w:space="0"/>
              <w:right w:val="single" w:color="auto" w:sz="4" w:space="0"/>
            </w:tcBorders>
            <w:vAlign w:val="center"/>
          </w:tcPr>
          <w:p w14:paraId="08127B8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eastAsia="zh-CN"/>
              </w:rPr>
              <w:t>5</w:t>
            </w:r>
          </w:p>
        </w:tc>
        <w:tc>
          <w:tcPr>
            <w:tcW w:w="1301" w:type="dxa"/>
            <w:tcBorders>
              <w:top w:val="single" w:color="auto" w:sz="4" w:space="0"/>
              <w:left w:val="single" w:color="auto" w:sz="4" w:space="0"/>
              <w:bottom w:val="single" w:color="auto" w:sz="4" w:space="0"/>
              <w:right w:val="single" w:color="auto" w:sz="4" w:space="0"/>
            </w:tcBorders>
            <w:vAlign w:val="bottom"/>
          </w:tcPr>
          <w:p w14:paraId="481A131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0.69</w:t>
            </w:r>
          </w:p>
        </w:tc>
        <w:tc>
          <w:tcPr>
            <w:tcW w:w="1298" w:type="dxa"/>
            <w:tcBorders>
              <w:top w:val="single" w:color="auto" w:sz="4" w:space="0"/>
              <w:left w:val="single" w:color="auto" w:sz="4" w:space="0"/>
              <w:bottom w:val="single" w:color="auto" w:sz="4" w:space="0"/>
              <w:right w:val="single" w:color="auto" w:sz="4" w:space="0"/>
            </w:tcBorders>
            <w:vAlign w:val="bottom"/>
          </w:tcPr>
          <w:p w14:paraId="2B5ADE1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1.46</w:t>
            </w:r>
          </w:p>
        </w:tc>
        <w:tc>
          <w:tcPr>
            <w:tcW w:w="1302" w:type="dxa"/>
            <w:tcBorders>
              <w:top w:val="single" w:color="auto" w:sz="4" w:space="0"/>
              <w:left w:val="single" w:color="auto" w:sz="4" w:space="0"/>
              <w:bottom w:val="single" w:color="auto" w:sz="4" w:space="0"/>
              <w:right w:val="single" w:color="auto" w:sz="4" w:space="0"/>
            </w:tcBorders>
            <w:vAlign w:val="bottom"/>
          </w:tcPr>
          <w:p w14:paraId="580669C0">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 xml:space="preserve">7.60 </w:t>
            </w:r>
          </w:p>
        </w:tc>
        <w:tc>
          <w:tcPr>
            <w:tcW w:w="1300" w:type="dxa"/>
            <w:tcBorders>
              <w:top w:val="single" w:color="auto" w:sz="4" w:space="0"/>
              <w:left w:val="single" w:color="auto" w:sz="4" w:space="0"/>
              <w:bottom w:val="single" w:color="auto" w:sz="4" w:space="0"/>
              <w:right w:val="single" w:color="auto" w:sz="4" w:space="0"/>
            </w:tcBorders>
            <w:vAlign w:val="bottom"/>
          </w:tcPr>
          <w:p w14:paraId="1AC38E76">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0.75</w:t>
            </w:r>
          </w:p>
        </w:tc>
        <w:tc>
          <w:tcPr>
            <w:tcW w:w="1301" w:type="dxa"/>
            <w:tcBorders>
              <w:top w:val="single" w:color="auto" w:sz="4" w:space="0"/>
              <w:left w:val="single" w:color="auto" w:sz="4" w:space="0"/>
              <w:bottom w:val="single" w:color="auto" w:sz="4" w:space="0"/>
              <w:right w:val="single" w:color="auto" w:sz="4" w:space="0"/>
            </w:tcBorders>
            <w:vAlign w:val="bottom"/>
          </w:tcPr>
          <w:p w14:paraId="2BFB999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1.66</w:t>
            </w:r>
          </w:p>
        </w:tc>
        <w:tc>
          <w:tcPr>
            <w:tcW w:w="1308" w:type="dxa"/>
            <w:tcBorders>
              <w:top w:val="single" w:color="auto" w:sz="4" w:space="0"/>
              <w:left w:val="single" w:color="auto" w:sz="4" w:space="0"/>
              <w:bottom w:val="single" w:color="auto" w:sz="4" w:space="0"/>
              <w:right w:val="single" w:color="auto" w:sz="4" w:space="0"/>
            </w:tcBorders>
            <w:vAlign w:val="bottom"/>
          </w:tcPr>
          <w:p w14:paraId="0B87BDB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8.06</w:t>
            </w:r>
          </w:p>
        </w:tc>
      </w:tr>
      <w:tr w14:paraId="5219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14:paraId="64A40DDE">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p>
        </w:tc>
        <w:tc>
          <w:tcPr>
            <w:tcW w:w="545" w:type="dxa"/>
            <w:tcBorders>
              <w:top w:val="single" w:color="auto" w:sz="4" w:space="0"/>
              <w:left w:val="single" w:color="auto" w:sz="4" w:space="0"/>
              <w:bottom w:val="single" w:color="auto" w:sz="4" w:space="0"/>
              <w:right w:val="single" w:color="auto" w:sz="4" w:space="0"/>
            </w:tcBorders>
            <w:vAlign w:val="center"/>
          </w:tcPr>
          <w:p w14:paraId="25DB753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default" w:ascii="仿宋_GB2312" w:hAnsi="仿宋_GB2312" w:eastAsia="仿宋_GB2312" w:cs="仿宋_GB2312"/>
                <w:b w:val="0"/>
                <w:bCs/>
                <w:color w:val="000000"/>
                <w:sz w:val="24"/>
                <w:szCs w:val="24"/>
                <w:lang w:val="en-US" w:eastAsia="zh-CN"/>
              </w:rPr>
              <w:t>6</w:t>
            </w:r>
          </w:p>
        </w:tc>
        <w:tc>
          <w:tcPr>
            <w:tcW w:w="1301" w:type="dxa"/>
            <w:tcBorders>
              <w:top w:val="single" w:color="auto" w:sz="4" w:space="0"/>
              <w:left w:val="single" w:color="auto" w:sz="4" w:space="0"/>
              <w:bottom w:val="single" w:color="auto" w:sz="4" w:space="0"/>
              <w:right w:val="single" w:color="auto" w:sz="4" w:space="0"/>
            </w:tcBorders>
            <w:vAlign w:val="bottom"/>
          </w:tcPr>
          <w:p w14:paraId="79871B3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0.72</w:t>
            </w:r>
          </w:p>
        </w:tc>
        <w:tc>
          <w:tcPr>
            <w:tcW w:w="1298" w:type="dxa"/>
            <w:tcBorders>
              <w:top w:val="single" w:color="auto" w:sz="4" w:space="0"/>
              <w:left w:val="single" w:color="auto" w:sz="4" w:space="0"/>
              <w:bottom w:val="single" w:color="auto" w:sz="4" w:space="0"/>
              <w:right w:val="single" w:color="auto" w:sz="4" w:space="0"/>
            </w:tcBorders>
            <w:vAlign w:val="bottom"/>
          </w:tcPr>
          <w:p w14:paraId="755FCAD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1.52</w:t>
            </w:r>
          </w:p>
        </w:tc>
        <w:tc>
          <w:tcPr>
            <w:tcW w:w="1302" w:type="dxa"/>
            <w:tcBorders>
              <w:top w:val="single" w:color="auto" w:sz="4" w:space="0"/>
              <w:left w:val="single" w:color="auto" w:sz="4" w:space="0"/>
              <w:bottom w:val="single" w:color="auto" w:sz="4" w:space="0"/>
              <w:right w:val="single" w:color="auto" w:sz="4" w:space="0"/>
            </w:tcBorders>
            <w:vAlign w:val="bottom"/>
          </w:tcPr>
          <w:p w14:paraId="6707BC64">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7.55</w:t>
            </w:r>
          </w:p>
        </w:tc>
        <w:tc>
          <w:tcPr>
            <w:tcW w:w="1300" w:type="dxa"/>
            <w:tcBorders>
              <w:top w:val="single" w:color="auto" w:sz="4" w:space="0"/>
              <w:left w:val="single" w:color="auto" w:sz="4" w:space="0"/>
              <w:bottom w:val="single" w:color="auto" w:sz="4" w:space="0"/>
              <w:right w:val="single" w:color="auto" w:sz="4" w:space="0"/>
            </w:tcBorders>
            <w:vAlign w:val="bottom"/>
          </w:tcPr>
          <w:p w14:paraId="399DC4E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0.76</w:t>
            </w:r>
          </w:p>
        </w:tc>
        <w:tc>
          <w:tcPr>
            <w:tcW w:w="1301" w:type="dxa"/>
            <w:tcBorders>
              <w:top w:val="single" w:color="auto" w:sz="4" w:space="0"/>
              <w:left w:val="single" w:color="auto" w:sz="4" w:space="0"/>
              <w:bottom w:val="single" w:color="auto" w:sz="4" w:space="0"/>
              <w:right w:val="single" w:color="auto" w:sz="4" w:space="0"/>
            </w:tcBorders>
            <w:vAlign w:val="bottom"/>
          </w:tcPr>
          <w:p w14:paraId="0D18323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1.66</w:t>
            </w:r>
          </w:p>
        </w:tc>
        <w:tc>
          <w:tcPr>
            <w:tcW w:w="1308" w:type="dxa"/>
            <w:tcBorders>
              <w:top w:val="single" w:color="auto" w:sz="4" w:space="0"/>
              <w:left w:val="single" w:color="auto" w:sz="4" w:space="0"/>
              <w:bottom w:val="single" w:color="auto" w:sz="4" w:space="0"/>
              <w:right w:val="single" w:color="auto" w:sz="4" w:space="0"/>
            </w:tcBorders>
            <w:vAlign w:val="bottom"/>
          </w:tcPr>
          <w:p w14:paraId="071484E8">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8.06</w:t>
            </w:r>
          </w:p>
        </w:tc>
      </w:tr>
      <w:tr w14:paraId="5EB2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14:paraId="38AF5F6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p>
        </w:tc>
        <w:tc>
          <w:tcPr>
            <w:tcW w:w="545" w:type="dxa"/>
            <w:tcBorders>
              <w:top w:val="single" w:color="auto" w:sz="4" w:space="0"/>
              <w:left w:val="single" w:color="auto" w:sz="4" w:space="0"/>
              <w:bottom w:val="single" w:color="auto" w:sz="4" w:space="0"/>
              <w:right w:val="single" w:color="auto" w:sz="4" w:space="0"/>
            </w:tcBorders>
            <w:vAlign w:val="center"/>
          </w:tcPr>
          <w:p w14:paraId="1C6EC8F0">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val="en-US" w:eastAsia="zh-CN"/>
              </w:rPr>
              <w:t>7</w:t>
            </w:r>
          </w:p>
        </w:tc>
        <w:tc>
          <w:tcPr>
            <w:tcW w:w="1301" w:type="dxa"/>
            <w:tcBorders>
              <w:top w:val="single" w:color="auto" w:sz="4" w:space="0"/>
              <w:left w:val="single" w:color="auto" w:sz="4" w:space="0"/>
              <w:bottom w:val="single" w:color="auto" w:sz="4" w:space="0"/>
              <w:right w:val="single" w:color="auto" w:sz="4" w:space="0"/>
            </w:tcBorders>
            <w:vAlign w:val="bottom"/>
          </w:tcPr>
          <w:p w14:paraId="611F61C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0.75</w:t>
            </w:r>
          </w:p>
        </w:tc>
        <w:tc>
          <w:tcPr>
            <w:tcW w:w="1298" w:type="dxa"/>
            <w:tcBorders>
              <w:top w:val="single" w:color="auto" w:sz="4" w:space="0"/>
              <w:left w:val="single" w:color="auto" w:sz="4" w:space="0"/>
              <w:bottom w:val="single" w:color="auto" w:sz="4" w:space="0"/>
              <w:right w:val="single" w:color="auto" w:sz="4" w:space="0"/>
            </w:tcBorders>
            <w:vAlign w:val="bottom"/>
          </w:tcPr>
          <w:p w14:paraId="0BF7D250">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1.44</w:t>
            </w:r>
          </w:p>
        </w:tc>
        <w:tc>
          <w:tcPr>
            <w:tcW w:w="1302" w:type="dxa"/>
            <w:tcBorders>
              <w:top w:val="single" w:color="auto" w:sz="4" w:space="0"/>
              <w:left w:val="single" w:color="auto" w:sz="4" w:space="0"/>
              <w:bottom w:val="single" w:color="auto" w:sz="4" w:space="0"/>
              <w:right w:val="single" w:color="auto" w:sz="4" w:space="0"/>
            </w:tcBorders>
            <w:vAlign w:val="bottom"/>
          </w:tcPr>
          <w:p w14:paraId="3D4BFC90">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7.69</w:t>
            </w:r>
          </w:p>
        </w:tc>
        <w:tc>
          <w:tcPr>
            <w:tcW w:w="1300" w:type="dxa"/>
            <w:tcBorders>
              <w:top w:val="single" w:color="auto" w:sz="4" w:space="0"/>
              <w:left w:val="single" w:color="auto" w:sz="4" w:space="0"/>
              <w:bottom w:val="single" w:color="auto" w:sz="4" w:space="0"/>
              <w:right w:val="single" w:color="auto" w:sz="4" w:space="0"/>
            </w:tcBorders>
            <w:vAlign w:val="bottom"/>
          </w:tcPr>
          <w:p w14:paraId="72C1886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0.76</w:t>
            </w:r>
          </w:p>
        </w:tc>
        <w:tc>
          <w:tcPr>
            <w:tcW w:w="1301" w:type="dxa"/>
            <w:tcBorders>
              <w:top w:val="single" w:color="auto" w:sz="4" w:space="0"/>
              <w:left w:val="single" w:color="auto" w:sz="4" w:space="0"/>
              <w:bottom w:val="single" w:color="auto" w:sz="4" w:space="0"/>
              <w:right w:val="single" w:color="auto" w:sz="4" w:space="0"/>
            </w:tcBorders>
            <w:vAlign w:val="bottom"/>
          </w:tcPr>
          <w:p w14:paraId="0E38AE4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1.62</w:t>
            </w:r>
          </w:p>
        </w:tc>
        <w:tc>
          <w:tcPr>
            <w:tcW w:w="1308" w:type="dxa"/>
            <w:tcBorders>
              <w:top w:val="single" w:color="auto" w:sz="4" w:space="0"/>
              <w:left w:val="single" w:color="auto" w:sz="4" w:space="0"/>
              <w:bottom w:val="single" w:color="auto" w:sz="4" w:space="0"/>
              <w:right w:val="single" w:color="auto" w:sz="4" w:space="0"/>
            </w:tcBorders>
            <w:vAlign w:val="bottom"/>
          </w:tcPr>
          <w:p w14:paraId="0DB0E4B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8.09</w:t>
            </w:r>
          </w:p>
        </w:tc>
      </w:tr>
      <w:tr w14:paraId="23F51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941" w:type="dxa"/>
            <w:gridSpan w:val="2"/>
            <w:tcBorders>
              <w:top w:val="single" w:color="auto" w:sz="4" w:space="0"/>
              <w:left w:val="single" w:color="auto" w:sz="4" w:space="0"/>
              <w:bottom w:val="single" w:color="auto" w:sz="4" w:space="0"/>
              <w:right w:val="single" w:color="auto" w:sz="4" w:space="0"/>
            </w:tcBorders>
            <w:vAlign w:val="center"/>
          </w:tcPr>
          <w:p w14:paraId="22554C0D">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eastAsia="zh-CN"/>
              </w:rPr>
              <w:t>平均值x（</w:t>
            </w:r>
            <w:r>
              <w:rPr>
                <w:rFonts w:hint="default" w:ascii="仿宋_GB2312" w:hAnsi="仿宋_GB2312" w:eastAsia="仿宋_GB2312" w:cs="仿宋_GB2312"/>
                <w:b w:val="0"/>
                <w:bCs/>
                <w:color w:val="000000"/>
                <w:sz w:val="24"/>
                <w:szCs w:val="24"/>
                <w:lang w:val="en-US" w:eastAsia="zh-CN"/>
              </w:rPr>
              <w:t>ng</w:t>
            </w:r>
            <w:r>
              <w:rPr>
                <w:rFonts w:hint="default" w:ascii="仿宋_GB2312" w:hAnsi="仿宋_GB2312" w:eastAsia="仿宋_GB2312" w:cs="仿宋_GB2312"/>
                <w:b w:val="0"/>
                <w:bCs/>
                <w:color w:val="000000"/>
                <w:sz w:val="24"/>
                <w:szCs w:val="24"/>
                <w:lang w:eastAsia="zh-CN"/>
              </w:rPr>
              <w:t>）</w:t>
            </w:r>
          </w:p>
        </w:tc>
        <w:tc>
          <w:tcPr>
            <w:tcW w:w="1301" w:type="dxa"/>
            <w:tcBorders>
              <w:top w:val="single" w:color="auto" w:sz="4" w:space="0"/>
              <w:left w:val="single" w:color="auto" w:sz="4" w:space="0"/>
              <w:bottom w:val="single" w:color="auto" w:sz="4" w:space="0"/>
              <w:right w:val="single" w:color="auto" w:sz="4" w:space="0"/>
            </w:tcBorders>
            <w:vAlign w:val="center"/>
          </w:tcPr>
          <w:p w14:paraId="3D53623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eastAsia" w:ascii="仿宋_GB2312" w:hAnsi="仿宋_GB2312" w:eastAsia="仿宋_GB2312" w:cs="仿宋_GB2312"/>
                <w:b w:val="0"/>
                <w:bCs/>
                <w:color w:val="000000"/>
                <w:sz w:val="24"/>
                <w:szCs w:val="24"/>
                <w:lang w:val="en-US" w:eastAsia="zh-CN"/>
              </w:rPr>
              <w:t>0.72</w:t>
            </w:r>
            <w:r>
              <w:rPr>
                <w:rFonts w:hint="default" w:ascii="仿宋_GB2312" w:hAnsi="仿宋_GB2312" w:eastAsia="仿宋_GB2312" w:cs="仿宋_GB2312"/>
                <w:b w:val="0"/>
                <w:bCs/>
                <w:color w:val="000000"/>
                <w:sz w:val="24"/>
                <w:szCs w:val="24"/>
                <w:lang w:val="en-US" w:eastAsia="zh-CN"/>
              </w:rPr>
              <w:t xml:space="preserve"> </w:t>
            </w:r>
          </w:p>
        </w:tc>
        <w:tc>
          <w:tcPr>
            <w:tcW w:w="1298" w:type="dxa"/>
            <w:tcBorders>
              <w:top w:val="single" w:color="auto" w:sz="4" w:space="0"/>
              <w:left w:val="single" w:color="auto" w:sz="4" w:space="0"/>
              <w:bottom w:val="single" w:color="auto" w:sz="4" w:space="0"/>
              <w:right w:val="single" w:color="auto" w:sz="4" w:space="0"/>
            </w:tcBorders>
            <w:vAlign w:val="center"/>
          </w:tcPr>
          <w:p w14:paraId="42EAD8F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eastAsia" w:ascii="仿宋_GB2312" w:hAnsi="仿宋_GB2312" w:eastAsia="仿宋_GB2312" w:cs="仿宋_GB2312"/>
                <w:b w:val="0"/>
                <w:bCs/>
                <w:color w:val="000000"/>
                <w:sz w:val="24"/>
                <w:szCs w:val="24"/>
                <w:lang w:val="en-US" w:eastAsia="zh-CN"/>
              </w:rPr>
              <w:t>1.47</w:t>
            </w:r>
            <w:r>
              <w:rPr>
                <w:rFonts w:hint="default" w:ascii="仿宋_GB2312" w:hAnsi="仿宋_GB2312" w:eastAsia="仿宋_GB2312" w:cs="仿宋_GB2312"/>
                <w:b w:val="0"/>
                <w:bCs/>
                <w:color w:val="000000"/>
                <w:sz w:val="24"/>
                <w:szCs w:val="24"/>
                <w:lang w:val="en-US" w:eastAsia="zh-CN"/>
              </w:rPr>
              <w:t xml:space="preserve"> </w:t>
            </w:r>
          </w:p>
        </w:tc>
        <w:tc>
          <w:tcPr>
            <w:tcW w:w="1302" w:type="dxa"/>
            <w:tcBorders>
              <w:top w:val="single" w:color="auto" w:sz="4" w:space="0"/>
              <w:left w:val="single" w:color="auto" w:sz="4" w:space="0"/>
              <w:bottom w:val="single" w:color="auto" w:sz="4" w:space="0"/>
              <w:right w:val="single" w:color="auto" w:sz="4" w:space="0"/>
            </w:tcBorders>
            <w:vAlign w:val="center"/>
          </w:tcPr>
          <w:p w14:paraId="4692CD3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eastAsia" w:ascii="仿宋_GB2312" w:hAnsi="仿宋_GB2312" w:eastAsia="仿宋_GB2312" w:cs="仿宋_GB2312"/>
                <w:b w:val="0"/>
                <w:bCs/>
                <w:color w:val="000000"/>
                <w:sz w:val="24"/>
                <w:szCs w:val="24"/>
                <w:lang w:val="en-US" w:eastAsia="zh-CN"/>
              </w:rPr>
              <w:t>7.62</w:t>
            </w:r>
          </w:p>
        </w:tc>
        <w:tc>
          <w:tcPr>
            <w:tcW w:w="1300" w:type="dxa"/>
            <w:tcBorders>
              <w:top w:val="single" w:color="auto" w:sz="4" w:space="0"/>
              <w:left w:val="single" w:color="auto" w:sz="4" w:space="0"/>
              <w:bottom w:val="single" w:color="auto" w:sz="4" w:space="0"/>
              <w:right w:val="single" w:color="auto" w:sz="4" w:space="0"/>
            </w:tcBorders>
            <w:vAlign w:val="center"/>
          </w:tcPr>
          <w:p w14:paraId="219C8EFF">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0.77</w:t>
            </w:r>
          </w:p>
        </w:tc>
        <w:tc>
          <w:tcPr>
            <w:tcW w:w="1301" w:type="dxa"/>
            <w:tcBorders>
              <w:top w:val="single" w:color="auto" w:sz="4" w:space="0"/>
              <w:left w:val="single" w:color="auto" w:sz="4" w:space="0"/>
              <w:bottom w:val="single" w:color="auto" w:sz="4" w:space="0"/>
              <w:right w:val="single" w:color="auto" w:sz="4" w:space="0"/>
            </w:tcBorders>
            <w:vAlign w:val="center"/>
          </w:tcPr>
          <w:p w14:paraId="226CFD3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1.65</w:t>
            </w:r>
          </w:p>
        </w:tc>
        <w:tc>
          <w:tcPr>
            <w:tcW w:w="1308" w:type="dxa"/>
            <w:tcBorders>
              <w:top w:val="single" w:color="auto" w:sz="4" w:space="0"/>
              <w:left w:val="single" w:color="auto" w:sz="4" w:space="0"/>
              <w:bottom w:val="single" w:color="auto" w:sz="4" w:space="0"/>
              <w:right w:val="single" w:color="auto" w:sz="4" w:space="0"/>
            </w:tcBorders>
            <w:vAlign w:val="center"/>
          </w:tcPr>
          <w:p w14:paraId="4C1FD046">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8.02</w:t>
            </w:r>
          </w:p>
        </w:tc>
      </w:tr>
      <w:tr w14:paraId="13CF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941" w:type="dxa"/>
            <w:gridSpan w:val="2"/>
            <w:tcBorders>
              <w:top w:val="single" w:color="auto" w:sz="4" w:space="0"/>
              <w:left w:val="single" w:color="auto" w:sz="4" w:space="0"/>
              <w:bottom w:val="single" w:color="auto" w:sz="4" w:space="0"/>
              <w:right w:val="single" w:color="auto" w:sz="4" w:space="0"/>
            </w:tcBorders>
            <w:vAlign w:val="center"/>
          </w:tcPr>
          <w:p w14:paraId="67596F2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eastAsia="zh-CN"/>
              </w:rPr>
              <w:t>理论值（</w:t>
            </w:r>
            <w:r>
              <w:rPr>
                <w:rFonts w:hint="default" w:ascii="仿宋_GB2312" w:hAnsi="仿宋_GB2312" w:eastAsia="仿宋_GB2312" w:cs="仿宋_GB2312"/>
                <w:b w:val="0"/>
                <w:bCs/>
                <w:color w:val="000000"/>
                <w:sz w:val="24"/>
                <w:szCs w:val="24"/>
                <w:lang w:val="en-US" w:eastAsia="zh-CN"/>
              </w:rPr>
              <w:t>ng</w:t>
            </w:r>
            <w:r>
              <w:rPr>
                <w:rFonts w:hint="default" w:ascii="仿宋_GB2312" w:hAnsi="仿宋_GB2312" w:eastAsia="仿宋_GB2312" w:cs="仿宋_GB2312"/>
                <w:b w:val="0"/>
                <w:bCs/>
                <w:color w:val="000000"/>
                <w:sz w:val="24"/>
                <w:szCs w:val="24"/>
                <w:lang w:eastAsia="zh-CN"/>
              </w:rPr>
              <w:t>）</w:t>
            </w:r>
          </w:p>
        </w:tc>
        <w:tc>
          <w:tcPr>
            <w:tcW w:w="1301" w:type="dxa"/>
            <w:tcBorders>
              <w:top w:val="single" w:color="auto" w:sz="4" w:space="0"/>
              <w:left w:val="single" w:color="auto" w:sz="4" w:space="0"/>
              <w:bottom w:val="single" w:color="auto" w:sz="4" w:space="0"/>
              <w:right w:val="single" w:color="auto" w:sz="4" w:space="0"/>
            </w:tcBorders>
            <w:vAlign w:val="center"/>
          </w:tcPr>
          <w:p w14:paraId="6D0927F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1.00</w:t>
            </w:r>
          </w:p>
        </w:tc>
        <w:tc>
          <w:tcPr>
            <w:tcW w:w="1298" w:type="dxa"/>
            <w:tcBorders>
              <w:top w:val="single" w:color="auto" w:sz="4" w:space="0"/>
              <w:left w:val="single" w:color="auto" w:sz="4" w:space="0"/>
              <w:bottom w:val="single" w:color="auto" w:sz="4" w:space="0"/>
              <w:right w:val="single" w:color="auto" w:sz="4" w:space="0"/>
            </w:tcBorders>
            <w:vAlign w:val="center"/>
          </w:tcPr>
          <w:p w14:paraId="134F2CE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2</w:t>
            </w:r>
            <w:r>
              <w:rPr>
                <w:rFonts w:hint="default" w:ascii="仿宋_GB2312" w:hAnsi="仿宋_GB2312" w:eastAsia="仿宋_GB2312" w:cs="仿宋_GB2312"/>
                <w:b w:val="0"/>
                <w:bCs/>
                <w:color w:val="000000"/>
                <w:sz w:val="24"/>
                <w:szCs w:val="24"/>
                <w:lang w:val="en-US" w:eastAsia="zh-CN"/>
              </w:rPr>
              <w:t>.00</w:t>
            </w:r>
          </w:p>
        </w:tc>
        <w:tc>
          <w:tcPr>
            <w:tcW w:w="1302" w:type="dxa"/>
            <w:tcBorders>
              <w:top w:val="single" w:color="auto" w:sz="4" w:space="0"/>
              <w:left w:val="single" w:color="auto" w:sz="4" w:space="0"/>
              <w:bottom w:val="single" w:color="auto" w:sz="4" w:space="0"/>
              <w:right w:val="single" w:color="auto" w:sz="4" w:space="0"/>
            </w:tcBorders>
            <w:vAlign w:val="center"/>
          </w:tcPr>
          <w:p w14:paraId="5F7ABBFC">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10</w:t>
            </w:r>
            <w:r>
              <w:rPr>
                <w:rFonts w:hint="default" w:ascii="仿宋_GB2312" w:hAnsi="仿宋_GB2312" w:eastAsia="仿宋_GB2312" w:cs="仿宋_GB2312"/>
                <w:b w:val="0"/>
                <w:bCs/>
                <w:color w:val="000000"/>
                <w:sz w:val="24"/>
                <w:szCs w:val="24"/>
                <w:lang w:val="en-US" w:eastAsia="zh-CN"/>
              </w:rPr>
              <w:t>.0</w:t>
            </w:r>
          </w:p>
        </w:tc>
        <w:tc>
          <w:tcPr>
            <w:tcW w:w="1300" w:type="dxa"/>
            <w:tcBorders>
              <w:top w:val="single" w:color="auto" w:sz="4" w:space="0"/>
              <w:left w:val="single" w:color="auto" w:sz="4" w:space="0"/>
              <w:bottom w:val="single" w:color="auto" w:sz="4" w:space="0"/>
              <w:right w:val="single" w:color="auto" w:sz="4" w:space="0"/>
            </w:tcBorders>
            <w:vAlign w:val="center"/>
          </w:tcPr>
          <w:p w14:paraId="774EFE3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w:t>
            </w:r>
            <w:r>
              <w:rPr>
                <w:rFonts w:hint="default" w:ascii="仿宋_GB2312" w:hAnsi="仿宋_GB2312" w:eastAsia="仿宋_GB2312" w:cs="仿宋_GB2312"/>
                <w:b w:val="0"/>
                <w:bCs/>
                <w:color w:val="000000"/>
                <w:sz w:val="24"/>
                <w:szCs w:val="24"/>
                <w:lang w:val="en-US" w:eastAsia="zh-CN"/>
              </w:rPr>
              <w:t>.00</w:t>
            </w:r>
          </w:p>
        </w:tc>
        <w:tc>
          <w:tcPr>
            <w:tcW w:w="1301" w:type="dxa"/>
            <w:tcBorders>
              <w:top w:val="single" w:color="auto" w:sz="4" w:space="0"/>
              <w:left w:val="single" w:color="auto" w:sz="4" w:space="0"/>
              <w:bottom w:val="single" w:color="auto" w:sz="4" w:space="0"/>
              <w:right w:val="single" w:color="auto" w:sz="4" w:space="0"/>
            </w:tcBorders>
            <w:vAlign w:val="center"/>
          </w:tcPr>
          <w:p w14:paraId="5D89FE4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2</w:t>
            </w:r>
            <w:r>
              <w:rPr>
                <w:rFonts w:hint="default" w:ascii="仿宋_GB2312" w:hAnsi="仿宋_GB2312" w:eastAsia="仿宋_GB2312" w:cs="仿宋_GB2312"/>
                <w:b w:val="0"/>
                <w:bCs/>
                <w:color w:val="000000"/>
                <w:sz w:val="24"/>
                <w:szCs w:val="24"/>
                <w:lang w:val="en-US" w:eastAsia="zh-CN"/>
              </w:rPr>
              <w:t>.0</w:t>
            </w:r>
          </w:p>
        </w:tc>
        <w:tc>
          <w:tcPr>
            <w:tcW w:w="1308" w:type="dxa"/>
            <w:tcBorders>
              <w:top w:val="single" w:color="auto" w:sz="4" w:space="0"/>
              <w:left w:val="single" w:color="auto" w:sz="4" w:space="0"/>
              <w:bottom w:val="single" w:color="auto" w:sz="4" w:space="0"/>
              <w:right w:val="single" w:color="auto" w:sz="4" w:space="0"/>
            </w:tcBorders>
            <w:vAlign w:val="center"/>
          </w:tcPr>
          <w:p w14:paraId="5A18700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10</w:t>
            </w:r>
            <w:r>
              <w:rPr>
                <w:rFonts w:hint="default" w:ascii="仿宋_GB2312" w:hAnsi="仿宋_GB2312" w:eastAsia="仿宋_GB2312" w:cs="仿宋_GB2312"/>
                <w:b w:val="0"/>
                <w:bCs/>
                <w:color w:val="000000"/>
                <w:sz w:val="24"/>
                <w:szCs w:val="24"/>
                <w:lang w:val="en-US" w:eastAsia="zh-CN"/>
              </w:rPr>
              <w:t>.0</w:t>
            </w:r>
          </w:p>
        </w:tc>
      </w:tr>
      <w:tr w14:paraId="31E2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1941" w:type="dxa"/>
            <w:gridSpan w:val="2"/>
            <w:tcBorders>
              <w:top w:val="single" w:color="auto" w:sz="4" w:space="0"/>
              <w:left w:val="single" w:color="auto" w:sz="4" w:space="0"/>
              <w:bottom w:val="single" w:color="auto" w:sz="4" w:space="0"/>
              <w:right w:val="single" w:color="auto" w:sz="4" w:space="0"/>
            </w:tcBorders>
            <w:vAlign w:val="center"/>
          </w:tcPr>
          <w:p w14:paraId="3DDCB9D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eastAsia="zh-CN"/>
              </w:rPr>
            </w:pPr>
            <w:r>
              <w:rPr>
                <w:rFonts w:hint="default" w:ascii="仿宋_GB2312" w:hAnsi="仿宋_GB2312" w:eastAsia="仿宋_GB2312" w:cs="仿宋_GB2312"/>
                <w:b w:val="0"/>
                <w:bCs/>
                <w:color w:val="000000"/>
                <w:sz w:val="24"/>
                <w:szCs w:val="24"/>
                <w:lang w:eastAsia="zh-CN"/>
              </w:rPr>
              <w:t>回收率 (%)</w:t>
            </w:r>
          </w:p>
        </w:tc>
        <w:tc>
          <w:tcPr>
            <w:tcW w:w="1301" w:type="dxa"/>
            <w:tcBorders>
              <w:top w:val="single" w:color="auto" w:sz="4" w:space="0"/>
              <w:left w:val="single" w:color="auto" w:sz="4" w:space="0"/>
              <w:bottom w:val="single" w:color="auto" w:sz="4" w:space="0"/>
              <w:right w:val="single" w:color="auto" w:sz="4" w:space="0"/>
            </w:tcBorders>
            <w:shd w:val="clear" w:color="auto" w:fill="auto"/>
            <w:vAlign w:val="center"/>
          </w:tcPr>
          <w:p w14:paraId="57D1F95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72.0</w:t>
            </w:r>
            <w:r>
              <w:rPr>
                <w:rFonts w:hint="default" w:ascii="仿宋_GB2312" w:hAnsi="仿宋_GB2312" w:eastAsia="仿宋_GB2312" w:cs="仿宋_GB2312"/>
                <w:b w:val="0"/>
                <w:bCs/>
                <w:color w:val="000000"/>
                <w:sz w:val="24"/>
                <w:szCs w:val="24"/>
                <w:lang w:val="en-US" w:eastAsia="zh-CN"/>
              </w:rPr>
              <w:t>%</w:t>
            </w:r>
          </w:p>
        </w:tc>
        <w:tc>
          <w:tcPr>
            <w:tcW w:w="1298" w:type="dxa"/>
            <w:tcBorders>
              <w:top w:val="single" w:color="auto" w:sz="4" w:space="0"/>
              <w:left w:val="single" w:color="auto" w:sz="4" w:space="0"/>
              <w:bottom w:val="single" w:color="auto" w:sz="4" w:space="0"/>
              <w:right w:val="single" w:color="auto" w:sz="4" w:space="0"/>
            </w:tcBorders>
            <w:shd w:val="clear" w:color="auto" w:fill="auto"/>
            <w:vAlign w:val="center"/>
          </w:tcPr>
          <w:p w14:paraId="2D56899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73.5</w:t>
            </w:r>
            <w:r>
              <w:rPr>
                <w:rFonts w:hint="default" w:ascii="仿宋_GB2312" w:hAnsi="仿宋_GB2312" w:eastAsia="仿宋_GB2312" w:cs="仿宋_GB2312"/>
                <w:b w:val="0"/>
                <w:bCs/>
                <w:color w:val="000000"/>
                <w:sz w:val="24"/>
                <w:szCs w:val="24"/>
                <w:lang w:val="en-US" w:eastAsia="zh-CN"/>
              </w:rPr>
              <w:t>%</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6BE8642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76.2</w:t>
            </w:r>
            <w:r>
              <w:rPr>
                <w:rFonts w:hint="default" w:ascii="仿宋_GB2312" w:hAnsi="仿宋_GB2312" w:eastAsia="仿宋_GB2312" w:cs="仿宋_GB2312"/>
                <w:b w:val="0"/>
                <w:bCs/>
                <w:color w:val="000000"/>
                <w:sz w:val="24"/>
                <w:szCs w:val="24"/>
                <w:lang w:val="en-US" w:eastAsia="zh-CN"/>
              </w:rPr>
              <w:t>%</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72520E02">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77.0</w:t>
            </w:r>
            <w:r>
              <w:rPr>
                <w:rFonts w:hint="default" w:ascii="仿宋_GB2312" w:hAnsi="仿宋_GB2312" w:eastAsia="仿宋_GB2312" w:cs="仿宋_GB2312"/>
                <w:b w:val="0"/>
                <w:bCs/>
                <w:color w:val="000000"/>
                <w:sz w:val="24"/>
                <w:szCs w:val="24"/>
                <w:lang w:val="en-US" w:eastAsia="zh-CN"/>
              </w:rPr>
              <w:t>%</w:t>
            </w:r>
          </w:p>
        </w:tc>
        <w:tc>
          <w:tcPr>
            <w:tcW w:w="1301" w:type="dxa"/>
            <w:tcBorders>
              <w:top w:val="single" w:color="auto" w:sz="4" w:space="0"/>
              <w:left w:val="single" w:color="auto" w:sz="4" w:space="0"/>
              <w:bottom w:val="single" w:color="auto" w:sz="4" w:space="0"/>
              <w:right w:val="single" w:color="auto" w:sz="4" w:space="0"/>
            </w:tcBorders>
            <w:shd w:val="clear" w:color="auto" w:fill="auto"/>
            <w:vAlign w:val="center"/>
          </w:tcPr>
          <w:p w14:paraId="1E8548DC">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82.5</w:t>
            </w:r>
            <w:r>
              <w:rPr>
                <w:rFonts w:hint="default" w:ascii="仿宋_GB2312" w:hAnsi="仿宋_GB2312" w:eastAsia="仿宋_GB2312" w:cs="仿宋_GB2312"/>
                <w:b w:val="0"/>
                <w:bCs/>
                <w:color w:val="000000"/>
                <w:sz w:val="24"/>
                <w:szCs w:val="24"/>
                <w:lang w:val="en-US" w:eastAsia="zh-CN"/>
              </w:rPr>
              <w:t>%</w:t>
            </w:r>
          </w:p>
        </w:tc>
        <w:tc>
          <w:tcPr>
            <w:tcW w:w="1308" w:type="dxa"/>
            <w:tcBorders>
              <w:top w:val="single" w:color="auto" w:sz="4" w:space="0"/>
              <w:left w:val="single" w:color="auto" w:sz="4" w:space="0"/>
              <w:bottom w:val="single" w:color="auto" w:sz="4" w:space="0"/>
              <w:right w:val="single" w:color="auto" w:sz="4" w:space="0"/>
            </w:tcBorders>
            <w:shd w:val="clear" w:color="auto" w:fill="auto"/>
            <w:vAlign w:val="center"/>
          </w:tcPr>
          <w:p w14:paraId="244A2228">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jc w:val="center"/>
              <w:rPr>
                <w:rFonts w:hint="default" w:ascii="仿宋_GB2312" w:hAnsi="仿宋_GB2312" w:eastAsia="仿宋_GB2312" w:cs="仿宋_GB2312"/>
                <w:b w:val="0"/>
                <w:bCs/>
                <w:color w:val="000000"/>
                <w:sz w:val="24"/>
                <w:szCs w:val="24"/>
                <w:lang w:val="en-US" w:eastAsia="zh-CN"/>
              </w:rPr>
            </w:pPr>
            <w:r>
              <w:rPr>
                <w:rFonts w:hint="eastAsia" w:ascii="仿宋_GB2312" w:hAnsi="仿宋_GB2312" w:eastAsia="仿宋_GB2312" w:cs="仿宋_GB2312"/>
                <w:b w:val="0"/>
                <w:bCs/>
                <w:color w:val="000000"/>
                <w:sz w:val="24"/>
                <w:szCs w:val="24"/>
                <w:lang w:val="en-US" w:eastAsia="zh-CN"/>
              </w:rPr>
              <w:t>80.2</w:t>
            </w:r>
            <w:r>
              <w:rPr>
                <w:rFonts w:hint="default" w:ascii="仿宋_GB2312" w:hAnsi="仿宋_GB2312" w:eastAsia="仿宋_GB2312" w:cs="仿宋_GB2312"/>
                <w:b w:val="0"/>
                <w:bCs/>
                <w:color w:val="000000"/>
                <w:sz w:val="24"/>
                <w:szCs w:val="24"/>
                <w:lang w:val="en-US" w:eastAsia="zh-CN"/>
              </w:rPr>
              <w:t>%</w:t>
            </w:r>
          </w:p>
        </w:tc>
      </w:tr>
    </w:tbl>
    <w:p w14:paraId="3915AE0A">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从表中可知，加标回收率介于</w:t>
      </w:r>
      <w:r>
        <w:rPr>
          <w:rFonts w:hint="eastAsia" w:ascii="仿宋_GB2312" w:hAnsi="仿宋_GB2312" w:eastAsia="仿宋_GB2312" w:cs="仿宋_GB2312"/>
          <w:b w:val="0"/>
          <w:bCs w:val="0"/>
          <w:kern w:val="2"/>
          <w:sz w:val="32"/>
          <w:szCs w:val="32"/>
          <w:lang w:val="en-US" w:eastAsia="zh-CN" w:bidi="ar-SA"/>
        </w:rPr>
        <w:t>72.0</w:t>
      </w:r>
      <w:r>
        <w:rPr>
          <w:rFonts w:hint="default" w:ascii="仿宋_GB2312" w:hAnsi="仿宋_GB2312" w:eastAsia="仿宋_GB2312" w:cs="仿宋_GB2312"/>
          <w:b w:val="0"/>
          <w:bCs w:val="0"/>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-82.5</w:t>
      </w:r>
      <w:r>
        <w:rPr>
          <w:rFonts w:hint="default" w:ascii="仿宋_GB2312" w:hAnsi="仿宋_GB2312" w:eastAsia="仿宋_GB2312" w:cs="仿宋_GB2312"/>
          <w:b w:val="0"/>
          <w:bCs w:val="0"/>
          <w:kern w:val="2"/>
          <w:sz w:val="32"/>
          <w:szCs w:val="32"/>
          <w:lang w:val="en-US" w:eastAsia="zh-CN" w:bidi="ar-SA"/>
        </w:rPr>
        <w:t>%之间，符合要求。</w:t>
      </w:r>
    </w:p>
    <w:p w14:paraId="37F952C7">
      <w:pPr>
        <w:autoSpaceDE w:val="0"/>
        <w:autoSpaceDN w:val="0"/>
        <w:adjustRightInd w:val="0"/>
        <w:ind w:firstLine="640"/>
        <w:jc w:val="left"/>
        <w:rPr>
          <w:rFonts w:ascii="黑体" w:hAnsi="黑体" w:eastAsia="黑体" w:cs="仿宋_GB2312"/>
          <w:szCs w:val="32"/>
        </w:rPr>
      </w:pPr>
      <w:bookmarkStart w:id="5" w:name="_Toc526940086"/>
      <w:r>
        <w:rPr>
          <w:rFonts w:hint="eastAsia" w:ascii="黑体" w:hAnsi="黑体" w:eastAsia="黑体" w:cs="仿宋_GB2312"/>
          <w:szCs w:val="32"/>
        </w:rPr>
        <w:t>六、</w:t>
      </w:r>
      <w:bookmarkEnd w:id="5"/>
      <w:r>
        <w:rPr>
          <w:rFonts w:hint="eastAsia" w:ascii="黑体" w:hAnsi="黑体" w:eastAsia="黑体" w:cs="仿宋_GB2312"/>
          <w:szCs w:val="32"/>
        </w:rPr>
        <w:t>重大分歧意见的处理经过和依据</w:t>
      </w:r>
    </w:p>
    <w:p w14:paraId="3C244805">
      <w:pPr>
        <w:ind w:firstLine="640"/>
        <w:rPr>
          <w:rFonts w:ascii="仿宋_GB2312" w:hAnsi="仿宋_GB2312" w:cs="仿宋_GB2312"/>
          <w:szCs w:val="28"/>
        </w:rPr>
      </w:pPr>
      <w:r>
        <w:rPr>
          <w:rFonts w:hint="eastAsia" w:ascii="仿宋_GB2312" w:hAnsi="仿宋_GB2312" w:cs="仿宋_GB2312"/>
          <w:szCs w:val="28"/>
        </w:rPr>
        <w:t>本标准研制过程中无重大分歧意见。</w:t>
      </w:r>
    </w:p>
    <w:p w14:paraId="100D2210">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七、实施标准的措施</w:t>
      </w:r>
    </w:p>
    <w:p w14:paraId="57E0C76B">
      <w:pPr>
        <w:ind w:firstLine="643"/>
        <w:rPr>
          <w:rFonts w:ascii="仿宋_GB2312" w:hAnsi="仿宋_GB2312" w:cs="仿宋_GB2312"/>
          <w:b/>
          <w:szCs w:val="28"/>
        </w:rPr>
      </w:pPr>
      <w:r>
        <w:rPr>
          <w:rFonts w:hint="eastAsia" w:ascii="仿宋_GB2312" w:hAnsi="仿宋_GB2312" w:cs="仿宋_GB2312"/>
          <w:b/>
          <w:szCs w:val="28"/>
        </w:rPr>
        <w:t>（一）标准报批发布后，成立标准宣贯工作组</w:t>
      </w:r>
    </w:p>
    <w:p w14:paraId="1C320B7D">
      <w:pPr>
        <w:ind w:firstLine="640"/>
        <w:rPr>
          <w:rFonts w:ascii="仿宋_GB2312" w:hAnsi="仿宋_GB2312" w:cs="仿宋_GB2312"/>
          <w:szCs w:val="28"/>
        </w:rPr>
      </w:pPr>
      <w:r>
        <w:rPr>
          <w:rFonts w:hint="eastAsia" w:ascii="仿宋_GB2312" w:hAnsi="仿宋_GB2312" w:cs="仿宋_GB231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13FCED55">
      <w:pPr>
        <w:ind w:firstLine="643"/>
        <w:rPr>
          <w:rFonts w:ascii="仿宋_GB2312" w:hAnsi="仿宋_GB2312" w:cs="仿宋_GB2312"/>
          <w:b/>
          <w:szCs w:val="28"/>
        </w:rPr>
      </w:pPr>
      <w:r>
        <w:rPr>
          <w:rFonts w:hint="eastAsia" w:ascii="仿宋_GB2312" w:hAnsi="仿宋_GB2312" w:cs="仿宋_GB2312"/>
          <w:b/>
          <w:szCs w:val="28"/>
        </w:rPr>
        <w:t>（二）组织开展标准宣贯培训</w:t>
      </w:r>
    </w:p>
    <w:p w14:paraId="2673F1E5">
      <w:pPr>
        <w:ind w:firstLine="640"/>
        <w:rPr>
          <w:rFonts w:ascii="仿宋_GB2312" w:hAnsi="仿宋_GB2312" w:cs="仿宋_GB2312"/>
          <w:szCs w:val="28"/>
        </w:rPr>
      </w:pPr>
      <w:r>
        <w:rPr>
          <w:rFonts w:hint="eastAsia" w:ascii="仿宋_GB2312" w:hAnsi="仿宋_GB2312" w:cs="仿宋_GB2312"/>
          <w:szCs w:val="28"/>
        </w:rPr>
        <w:t>标准发布实施后，标准宣贯工作小组制作标准解读宣贯培训PPT课件和标准核心技术明白书，并按标准宣贯培训计划深入各市县相关机构、</w:t>
      </w:r>
      <w:r>
        <w:rPr>
          <w:rFonts w:hint="eastAsia" w:ascii="仿宋_GB2312" w:hAnsi="仿宋_GB2312" w:cs="仿宋_GB2312"/>
          <w:szCs w:val="28"/>
          <w:lang w:val="en-US" w:eastAsia="zh-CN"/>
        </w:rPr>
        <w:t>检测</w:t>
      </w:r>
      <w:r>
        <w:rPr>
          <w:rFonts w:hint="eastAsia" w:ascii="仿宋_GB2312" w:hAnsi="仿宋_GB2312" w:cs="仿宋_GB2312"/>
          <w:szCs w:val="28"/>
        </w:rPr>
        <w:t>单位开展标准宣贯培训，对标准进行逐条解读，让技术人员掌握标准核心内容，助力标准实施落地。</w:t>
      </w:r>
    </w:p>
    <w:p w14:paraId="28BE41DC">
      <w:pPr>
        <w:ind w:firstLine="643"/>
        <w:rPr>
          <w:rFonts w:ascii="仿宋_GB2312" w:hAnsi="仿宋_GB2312" w:cs="仿宋_GB2312"/>
          <w:b/>
          <w:szCs w:val="28"/>
        </w:rPr>
      </w:pPr>
      <w:r>
        <w:rPr>
          <w:rFonts w:hint="eastAsia" w:ascii="仿宋_GB2312" w:hAnsi="仿宋_GB2312" w:cs="仿宋_GB2312"/>
          <w:b/>
          <w:szCs w:val="28"/>
        </w:rPr>
        <w:t>（三）开展标准实施交流会，收集标准实施反馈信息</w:t>
      </w:r>
    </w:p>
    <w:p w14:paraId="1EE02EB0">
      <w:pPr>
        <w:ind w:firstLine="640"/>
        <w:rPr>
          <w:rFonts w:ascii="仿宋_GB2312" w:hAnsi="仿宋_GB2312" w:cs="仿宋_GB2312"/>
          <w:szCs w:val="28"/>
        </w:rPr>
      </w:pPr>
      <w:r>
        <w:rPr>
          <w:rFonts w:hint="eastAsia" w:ascii="仿宋_GB2312" w:hAnsi="仿宋_GB2312" w:cs="仿宋_GB2312"/>
          <w:szCs w:val="28"/>
        </w:rPr>
        <w:t>标准起草小组深入各市县相关机构、</w:t>
      </w:r>
      <w:r>
        <w:rPr>
          <w:rFonts w:hint="eastAsia" w:ascii="仿宋_GB2312" w:hAnsi="仿宋_GB2312" w:cs="仿宋_GB2312"/>
          <w:szCs w:val="28"/>
          <w:lang w:val="en-US" w:eastAsia="zh-CN"/>
        </w:rPr>
        <w:t>检测</w:t>
      </w:r>
      <w:r>
        <w:rPr>
          <w:rFonts w:hint="eastAsia" w:ascii="仿宋_GB2312" w:hAnsi="仿宋_GB2312" w:cs="仿宋_GB2312"/>
          <w:szCs w:val="28"/>
        </w:rPr>
        <w:t>单位组织技术人员召开标准实施交流会，听取标准实施过程中存在的问题并做好记录和解答，对存在的问题组织专家团队进行研讨，为标准的复审修订做准备。</w:t>
      </w:r>
    </w:p>
    <w:p w14:paraId="1C3CA89F">
      <w:pPr>
        <w:ind w:firstLine="643"/>
        <w:rPr>
          <w:rFonts w:ascii="仿宋_GB2312" w:hAnsi="仿宋_GB2312" w:cs="仿宋_GB2312"/>
          <w:b/>
          <w:szCs w:val="28"/>
        </w:rPr>
      </w:pPr>
      <w:r>
        <w:rPr>
          <w:rFonts w:hint="eastAsia" w:ascii="仿宋_GB2312" w:hAnsi="仿宋_GB2312" w:cs="仿宋_GB2312"/>
          <w:b/>
          <w:szCs w:val="28"/>
        </w:rPr>
        <w:t>（四）开展标准实施效果评估</w:t>
      </w:r>
    </w:p>
    <w:p w14:paraId="331ED237">
      <w:pPr>
        <w:ind w:firstLine="640"/>
        <w:rPr>
          <w:rFonts w:ascii="仿宋_GB2312" w:hAnsi="仿宋_GB2312" w:cs="仿宋_GB2312"/>
          <w:szCs w:val="28"/>
        </w:rPr>
      </w:pPr>
      <w:r>
        <w:rPr>
          <w:rFonts w:hint="eastAsia" w:ascii="仿宋_GB2312" w:hAnsi="仿宋_GB2312" w:cs="仿宋_GB231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605DE307">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5E68DBB1">
      <w:pPr>
        <w:ind w:firstLine="640"/>
        <w:rPr>
          <w:rFonts w:ascii="仿宋_GB2312" w:hAnsi="仿宋_GB2312" w:cs="仿宋_GB2312"/>
          <w:szCs w:val="28"/>
        </w:rPr>
      </w:pPr>
      <w:r>
        <w:rPr>
          <w:rFonts w:hint="eastAsia" w:ascii="仿宋_GB2312" w:hAnsi="仿宋_GB2312" w:cs="仿宋_GB2312"/>
          <w:szCs w:val="28"/>
        </w:rPr>
        <w:t>无。</w:t>
      </w:r>
    </w:p>
    <w:p w14:paraId="420FC032">
      <w:pPr>
        <w:ind w:left="0" w:leftChars="0" w:firstLine="0" w:firstLineChars="0"/>
        <w:rPr>
          <w:rFonts w:ascii="仿宋_GB2312" w:hAnsi="仿宋_GB2312" w:cs="仿宋_GB2312"/>
          <w:bCs/>
          <w:color w:val="000000"/>
          <w:sz w:val="36"/>
          <w:szCs w:val="32"/>
        </w:rPr>
      </w:pPr>
      <w:bookmarkStart w:id="6" w:name="_GoBack"/>
      <w:bookmarkEnd w:id="6"/>
    </w:p>
    <w:p w14:paraId="377930E5">
      <w:pPr>
        <w:wordWrap/>
        <w:ind w:firstLine="640"/>
        <w:jc w:val="right"/>
        <w:rPr>
          <w:rFonts w:ascii="仿宋_GB2312" w:hAnsi="仿宋_GB2312" w:cs="仿宋_GB2312"/>
          <w:szCs w:val="28"/>
        </w:rPr>
      </w:pPr>
      <w:r>
        <w:rPr>
          <w:rFonts w:hint="eastAsia" w:ascii="仿宋_GB2312" w:hAnsi="仿宋_GB2312" w:cs="仿宋_GB2312"/>
          <w:szCs w:val="28"/>
        </w:rPr>
        <w:t>团体标准《榴莲中碱性嫩黄O的测定 液相色谱-串联质法》标准编制工作组</w:t>
      </w:r>
    </w:p>
    <w:p w14:paraId="45772667">
      <w:pPr>
        <w:wordWrap/>
        <w:ind w:firstLine="640"/>
        <w:jc w:val="right"/>
        <w:rPr>
          <w:rFonts w:ascii="仿宋_GB2312" w:hAnsi="仿宋_GB2312" w:cs="仿宋_GB2312"/>
          <w:color w:val="FF0000"/>
          <w:szCs w:val="28"/>
        </w:rPr>
      </w:pPr>
      <w:r>
        <w:rPr>
          <w:rFonts w:hint="eastAsia" w:ascii="仿宋_GB2312" w:hAnsi="仿宋_GB2312" w:cs="仿宋_GB2312"/>
          <w:szCs w:val="28"/>
        </w:rPr>
        <w:t>20</w:t>
      </w:r>
      <w:r>
        <w:rPr>
          <w:rFonts w:hint="eastAsia" w:ascii="仿宋_GB2312" w:hAnsi="仿宋_GB2312" w:cs="仿宋_GB2312"/>
          <w:szCs w:val="28"/>
          <w:lang w:val="en-US" w:eastAsia="zh-CN"/>
        </w:rPr>
        <w:t>26</w:t>
      </w:r>
      <w:r>
        <w:rPr>
          <w:rFonts w:hint="eastAsia" w:ascii="仿宋_GB2312" w:hAnsi="仿宋_GB2312" w:cs="仿宋_GB2312"/>
          <w:szCs w:val="28"/>
        </w:rPr>
        <w:t>年</w:t>
      </w:r>
      <w:r>
        <w:rPr>
          <w:rFonts w:hint="eastAsia" w:ascii="仿宋_GB2312" w:hAnsi="仿宋_GB2312" w:cs="仿宋_GB2312"/>
          <w:szCs w:val="28"/>
          <w:lang w:val="en-US" w:eastAsia="zh-CN"/>
        </w:rPr>
        <w:t>5</w:t>
      </w:r>
      <w:r>
        <w:rPr>
          <w:rFonts w:hint="eastAsia" w:ascii="仿宋_GB2312" w:hAnsi="仿宋_GB2312" w:cs="仿宋_GB2312"/>
          <w:szCs w:val="28"/>
        </w:rPr>
        <w:t>月</w:t>
      </w:r>
      <w:r>
        <w:rPr>
          <w:rFonts w:hint="eastAsia" w:ascii="仿宋_GB2312" w:hAnsi="仿宋_GB2312" w:cs="仿宋_GB2312"/>
          <w:szCs w:val="28"/>
          <w:lang w:val="en-US" w:eastAsia="zh-CN"/>
        </w:rPr>
        <w:t>25</w:t>
      </w:r>
      <w:r>
        <w:rPr>
          <w:rFonts w:hint="eastAsia" w:ascii="仿宋_GB2312" w:hAnsi="仿宋_GB2312" w:cs="仿宋_GB2312"/>
          <w:szCs w:val="28"/>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74D1D127">
        <w:pPr>
          <w:pStyle w:val="4"/>
          <w:ind w:firstLine="360"/>
          <w:jc w:val="center"/>
        </w:pPr>
        <w:r>
          <w:fldChar w:fldCharType="begin"/>
        </w:r>
        <w:r>
          <w:instrText xml:space="preserve">PAGE   \* MERGEFORMAT</w:instrText>
        </w:r>
        <w:r>
          <w:fldChar w:fldCharType="separate"/>
        </w:r>
        <w:r>
          <w:rPr>
            <w:lang w:val="zh-CN"/>
          </w:rPr>
          <w:t>14</w:t>
        </w:r>
        <w:r>
          <w:fldChar w:fldCharType="end"/>
        </w:r>
      </w:p>
    </w:sdtContent>
  </w:sdt>
  <w:p w14:paraId="084139DC">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C6ECD">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7BD71">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CC883">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083DF">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B1E55">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5"/>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0" w:firstLine="0"/>
      </w:pPr>
      <w:rPr>
        <w:rFonts w:hint="eastAsia" w:ascii="黑体" w:hAnsi="Times New Roman" w:eastAsia="黑体"/>
        <w:b w:val="0"/>
        <w:i w:val="0"/>
        <w:sz w:val="21"/>
      </w:rPr>
    </w:lvl>
    <w:lvl w:ilvl="4" w:tentative="0">
      <w:start w:val="1"/>
      <w:numFmt w:val="decimal"/>
      <w:pStyle w:val="19"/>
      <w:suff w:val="nothing"/>
      <w:lvlText w:val="%1.%2.%3.%4.%5　"/>
      <w:lvlJc w:val="left"/>
      <w:pPr>
        <w:ind w:left="0" w:firstLine="0"/>
      </w:pPr>
      <w:rPr>
        <w:rFonts w:hint="eastAsia" w:ascii="黑体" w:hAnsi="Times New Roman" w:eastAsia="黑体"/>
        <w:b w:val="0"/>
        <w:i w:val="0"/>
        <w:sz w:val="21"/>
      </w:rPr>
    </w:lvl>
    <w:lvl w:ilvl="5" w:tentative="0">
      <w:start w:val="1"/>
      <w:numFmt w:val="decimal"/>
      <w:pStyle w:val="2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2"/>
      <w:suff w:val="space"/>
      <w:lvlText w:val="%1"/>
      <w:lvlJc w:val="left"/>
      <w:pPr>
        <w:ind w:left="623" w:hanging="425"/>
      </w:pPr>
      <w:rPr>
        <w:rFonts w:hint="eastAsia"/>
      </w:rPr>
    </w:lvl>
    <w:lvl w:ilvl="1" w:tentative="0">
      <w:start w:val="1"/>
      <w:numFmt w:val="decimal"/>
      <w:pStyle w:val="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44"/>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2F04FB2"/>
    <w:multiLevelType w:val="multilevel"/>
    <w:tmpl w:val="32F04FB2"/>
    <w:lvl w:ilvl="0" w:tentative="0">
      <w:start w:val="1"/>
      <w:numFmt w:val="lowerLetter"/>
      <w:pStyle w:val="47"/>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7">
    <w:nsid w:val="557C2AF5"/>
    <w:multiLevelType w:val="multilevel"/>
    <w:tmpl w:val="557C2AF5"/>
    <w:lvl w:ilvl="0" w:tentative="0">
      <w:start w:val="1"/>
      <w:numFmt w:val="decimal"/>
      <w:pStyle w:val="1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9">
    <w:nsid w:val="646260FA"/>
    <w:multiLevelType w:val="multilevel"/>
    <w:tmpl w:val="646260FA"/>
    <w:lvl w:ilvl="0" w:tentative="0">
      <w:start w:val="1"/>
      <w:numFmt w:val="decimal"/>
      <w:pStyle w:val="4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7"/>
      <w:suff w:val="nothing"/>
      <w:lvlText w:val="%1%2　"/>
      <w:lvlJc w:val="left"/>
      <w:pPr>
        <w:ind w:left="0" w:firstLine="0"/>
      </w:pPr>
      <w:rPr>
        <w:rFonts w:hint="eastAsia" w:ascii="黑体"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pStyle w:val="46"/>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3"/>
  </w:num>
  <w:num w:numId="3">
    <w:abstractNumId w:val="0"/>
  </w:num>
  <w:num w:numId="4">
    <w:abstractNumId w:val="4"/>
  </w:num>
  <w:num w:numId="5">
    <w:abstractNumId w:val="2"/>
  </w:num>
  <w:num w:numId="6">
    <w:abstractNumId w:val="1"/>
  </w:num>
  <w:num w:numId="7">
    <w:abstractNumId w:val="8"/>
  </w:num>
  <w:num w:numId="8">
    <w:abstractNumId w:val="10"/>
  </w:num>
  <w:num w:numId="9">
    <w:abstractNumId w:val="9"/>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4EF2"/>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08EA"/>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637"/>
    <w:rsid w:val="004B2E7F"/>
    <w:rsid w:val="004C4136"/>
    <w:rsid w:val="004D155D"/>
    <w:rsid w:val="004D2302"/>
    <w:rsid w:val="004D5B22"/>
    <w:rsid w:val="004E3026"/>
    <w:rsid w:val="004F0593"/>
    <w:rsid w:val="004F48C2"/>
    <w:rsid w:val="004F6805"/>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2D31"/>
    <w:rsid w:val="00993328"/>
    <w:rsid w:val="00995822"/>
    <w:rsid w:val="00997A44"/>
    <w:rsid w:val="009A0C7B"/>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36B38"/>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D6E93"/>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A7EE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653D6"/>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0FF452C"/>
    <w:rsid w:val="0136732D"/>
    <w:rsid w:val="01B91D0C"/>
    <w:rsid w:val="01CE5D1C"/>
    <w:rsid w:val="02007CE5"/>
    <w:rsid w:val="02021905"/>
    <w:rsid w:val="024C2B81"/>
    <w:rsid w:val="02663C42"/>
    <w:rsid w:val="02D92666"/>
    <w:rsid w:val="0301396B"/>
    <w:rsid w:val="039E595D"/>
    <w:rsid w:val="03E77005"/>
    <w:rsid w:val="041651F4"/>
    <w:rsid w:val="04441D61"/>
    <w:rsid w:val="04F16063"/>
    <w:rsid w:val="050B287F"/>
    <w:rsid w:val="0530678A"/>
    <w:rsid w:val="05D51262"/>
    <w:rsid w:val="060A0D89"/>
    <w:rsid w:val="070F07F6"/>
    <w:rsid w:val="072D4D2F"/>
    <w:rsid w:val="07DC0503"/>
    <w:rsid w:val="07EA2C20"/>
    <w:rsid w:val="08083403"/>
    <w:rsid w:val="086E7849"/>
    <w:rsid w:val="094620D8"/>
    <w:rsid w:val="09694018"/>
    <w:rsid w:val="09BE5E2A"/>
    <w:rsid w:val="0A091F73"/>
    <w:rsid w:val="0A8504E9"/>
    <w:rsid w:val="0AA7304A"/>
    <w:rsid w:val="0B472137"/>
    <w:rsid w:val="0C000C64"/>
    <w:rsid w:val="0C743400"/>
    <w:rsid w:val="0CC151AB"/>
    <w:rsid w:val="0D7F02AE"/>
    <w:rsid w:val="0D92619C"/>
    <w:rsid w:val="0DF465A6"/>
    <w:rsid w:val="0F412CA9"/>
    <w:rsid w:val="0FD566D2"/>
    <w:rsid w:val="103709CC"/>
    <w:rsid w:val="103C4234"/>
    <w:rsid w:val="111C5A77"/>
    <w:rsid w:val="118934A9"/>
    <w:rsid w:val="11924EB2"/>
    <w:rsid w:val="11A554D7"/>
    <w:rsid w:val="11AE2F10"/>
    <w:rsid w:val="1230601B"/>
    <w:rsid w:val="12AF5192"/>
    <w:rsid w:val="13B2170D"/>
    <w:rsid w:val="13B97480"/>
    <w:rsid w:val="13CB172E"/>
    <w:rsid w:val="14034EB5"/>
    <w:rsid w:val="14787805"/>
    <w:rsid w:val="14870494"/>
    <w:rsid w:val="15085E8C"/>
    <w:rsid w:val="15174F60"/>
    <w:rsid w:val="1556095A"/>
    <w:rsid w:val="15E11B06"/>
    <w:rsid w:val="16505471"/>
    <w:rsid w:val="167C04B7"/>
    <w:rsid w:val="167D7F24"/>
    <w:rsid w:val="16D451C7"/>
    <w:rsid w:val="17306AB5"/>
    <w:rsid w:val="17373F64"/>
    <w:rsid w:val="17375756"/>
    <w:rsid w:val="17614581"/>
    <w:rsid w:val="176A6365"/>
    <w:rsid w:val="17805371"/>
    <w:rsid w:val="180F222F"/>
    <w:rsid w:val="18194E5B"/>
    <w:rsid w:val="196640D0"/>
    <w:rsid w:val="19A054D6"/>
    <w:rsid w:val="1B0717C8"/>
    <w:rsid w:val="1B636B19"/>
    <w:rsid w:val="1BE33681"/>
    <w:rsid w:val="1BEE3674"/>
    <w:rsid w:val="1CCC6940"/>
    <w:rsid w:val="1D1D719C"/>
    <w:rsid w:val="1D250574"/>
    <w:rsid w:val="1EB350B6"/>
    <w:rsid w:val="1ED45248"/>
    <w:rsid w:val="1FD2426D"/>
    <w:rsid w:val="1FF07A66"/>
    <w:rsid w:val="201C7BDE"/>
    <w:rsid w:val="20355E85"/>
    <w:rsid w:val="20653288"/>
    <w:rsid w:val="206A1266"/>
    <w:rsid w:val="20875058"/>
    <w:rsid w:val="20DF30E6"/>
    <w:rsid w:val="21022930"/>
    <w:rsid w:val="21862EC6"/>
    <w:rsid w:val="218D48F0"/>
    <w:rsid w:val="22507BB1"/>
    <w:rsid w:val="23554A5D"/>
    <w:rsid w:val="237A2B2A"/>
    <w:rsid w:val="23EF1892"/>
    <w:rsid w:val="24174945"/>
    <w:rsid w:val="2426102C"/>
    <w:rsid w:val="24FC7E99"/>
    <w:rsid w:val="257227BA"/>
    <w:rsid w:val="259A3A7F"/>
    <w:rsid w:val="25CB074B"/>
    <w:rsid w:val="25F52A64"/>
    <w:rsid w:val="265B5E13"/>
    <w:rsid w:val="267B565F"/>
    <w:rsid w:val="26A56238"/>
    <w:rsid w:val="26C863CA"/>
    <w:rsid w:val="2718377D"/>
    <w:rsid w:val="27DD7C53"/>
    <w:rsid w:val="280B47C0"/>
    <w:rsid w:val="28135ECF"/>
    <w:rsid w:val="28C826B1"/>
    <w:rsid w:val="294855A0"/>
    <w:rsid w:val="295B7554"/>
    <w:rsid w:val="29F714A0"/>
    <w:rsid w:val="2A16744D"/>
    <w:rsid w:val="2AAC5B23"/>
    <w:rsid w:val="2AB32EED"/>
    <w:rsid w:val="2B3109E2"/>
    <w:rsid w:val="2B487ADA"/>
    <w:rsid w:val="2BE55328"/>
    <w:rsid w:val="2C254300"/>
    <w:rsid w:val="2C416A03"/>
    <w:rsid w:val="2C4F36F5"/>
    <w:rsid w:val="2D5F22BD"/>
    <w:rsid w:val="2D7D7F0E"/>
    <w:rsid w:val="2DF6381D"/>
    <w:rsid w:val="2E692241"/>
    <w:rsid w:val="2EBD433B"/>
    <w:rsid w:val="2EC21951"/>
    <w:rsid w:val="2EC76F67"/>
    <w:rsid w:val="2FF37D11"/>
    <w:rsid w:val="3013049D"/>
    <w:rsid w:val="307A0735"/>
    <w:rsid w:val="31507BB8"/>
    <w:rsid w:val="31EF6F01"/>
    <w:rsid w:val="32CE4D68"/>
    <w:rsid w:val="332C3D99"/>
    <w:rsid w:val="343926B5"/>
    <w:rsid w:val="3491604D"/>
    <w:rsid w:val="35150A2C"/>
    <w:rsid w:val="359758E5"/>
    <w:rsid w:val="35F9034E"/>
    <w:rsid w:val="365875C5"/>
    <w:rsid w:val="37623CD1"/>
    <w:rsid w:val="379C3687"/>
    <w:rsid w:val="38673C95"/>
    <w:rsid w:val="39356049"/>
    <w:rsid w:val="395104A1"/>
    <w:rsid w:val="39822409"/>
    <w:rsid w:val="39A24859"/>
    <w:rsid w:val="3A296D28"/>
    <w:rsid w:val="3A7C32FC"/>
    <w:rsid w:val="3B0E03F8"/>
    <w:rsid w:val="3B3B4F65"/>
    <w:rsid w:val="3B4E60E4"/>
    <w:rsid w:val="3BFE2074"/>
    <w:rsid w:val="3C3178A8"/>
    <w:rsid w:val="3C5938F5"/>
    <w:rsid w:val="3E38578C"/>
    <w:rsid w:val="3E3C527C"/>
    <w:rsid w:val="3E6912FB"/>
    <w:rsid w:val="3F5860E5"/>
    <w:rsid w:val="3F8C7277"/>
    <w:rsid w:val="3FA0222F"/>
    <w:rsid w:val="3FBD063E"/>
    <w:rsid w:val="40055B41"/>
    <w:rsid w:val="414A4154"/>
    <w:rsid w:val="42D769B6"/>
    <w:rsid w:val="42F56341"/>
    <w:rsid w:val="4359067E"/>
    <w:rsid w:val="4467501D"/>
    <w:rsid w:val="44F600D3"/>
    <w:rsid w:val="45617704"/>
    <w:rsid w:val="4597723C"/>
    <w:rsid w:val="45C142B9"/>
    <w:rsid w:val="464E0242"/>
    <w:rsid w:val="46D11862"/>
    <w:rsid w:val="483B0352"/>
    <w:rsid w:val="48B048DB"/>
    <w:rsid w:val="492434DC"/>
    <w:rsid w:val="492650D3"/>
    <w:rsid w:val="49706721"/>
    <w:rsid w:val="49DA3B9B"/>
    <w:rsid w:val="4A6718D3"/>
    <w:rsid w:val="4A9B5A20"/>
    <w:rsid w:val="4ADB2CA1"/>
    <w:rsid w:val="4B217CD3"/>
    <w:rsid w:val="4B6776B0"/>
    <w:rsid w:val="4B826C0A"/>
    <w:rsid w:val="4B8C0594"/>
    <w:rsid w:val="4C0F7B1B"/>
    <w:rsid w:val="4CFE380A"/>
    <w:rsid w:val="4D6B16DA"/>
    <w:rsid w:val="4D862B8C"/>
    <w:rsid w:val="4DFF35F5"/>
    <w:rsid w:val="4ECE0172"/>
    <w:rsid w:val="4EF47599"/>
    <w:rsid w:val="4F844CD5"/>
    <w:rsid w:val="4FE3578A"/>
    <w:rsid w:val="501871CB"/>
    <w:rsid w:val="51281690"/>
    <w:rsid w:val="52630BD1"/>
    <w:rsid w:val="52C06024"/>
    <w:rsid w:val="53963229"/>
    <w:rsid w:val="54E94B5B"/>
    <w:rsid w:val="55661639"/>
    <w:rsid w:val="55761622"/>
    <w:rsid w:val="55801A9A"/>
    <w:rsid w:val="55F928C7"/>
    <w:rsid w:val="5626534E"/>
    <w:rsid w:val="57727B09"/>
    <w:rsid w:val="5945756E"/>
    <w:rsid w:val="599E4BE5"/>
    <w:rsid w:val="5ACB1A0A"/>
    <w:rsid w:val="5BBA4800"/>
    <w:rsid w:val="5BCA3A6F"/>
    <w:rsid w:val="5BD857FA"/>
    <w:rsid w:val="5C080481"/>
    <w:rsid w:val="5CE45005"/>
    <w:rsid w:val="5DB11343"/>
    <w:rsid w:val="5E202145"/>
    <w:rsid w:val="5E6A153A"/>
    <w:rsid w:val="5EA902B4"/>
    <w:rsid w:val="5ED2069F"/>
    <w:rsid w:val="5EF57055"/>
    <w:rsid w:val="5F223BC2"/>
    <w:rsid w:val="5F621BCD"/>
    <w:rsid w:val="5F717FA2"/>
    <w:rsid w:val="5FB254B6"/>
    <w:rsid w:val="6031647B"/>
    <w:rsid w:val="60651FB9"/>
    <w:rsid w:val="60A61796"/>
    <w:rsid w:val="60FB46CB"/>
    <w:rsid w:val="61BE5E24"/>
    <w:rsid w:val="62BB6808"/>
    <w:rsid w:val="62F74A7A"/>
    <w:rsid w:val="63247F09"/>
    <w:rsid w:val="63A4729C"/>
    <w:rsid w:val="63F20007"/>
    <w:rsid w:val="64487C27"/>
    <w:rsid w:val="645E744B"/>
    <w:rsid w:val="668E2223"/>
    <w:rsid w:val="676F196F"/>
    <w:rsid w:val="683026D9"/>
    <w:rsid w:val="689A6DDC"/>
    <w:rsid w:val="693F388B"/>
    <w:rsid w:val="69C75A92"/>
    <w:rsid w:val="69EE1271"/>
    <w:rsid w:val="69F10D61"/>
    <w:rsid w:val="69F50021"/>
    <w:rsid w:val="6A301889"/>
    <w:rsid w:val="6ADC556D"/>
    <w:rsid w:val="6C865790"/>
    <w:rsid w:val="6C9003BD"/>
    <w:rsid w:val="6D21370B"/>
    <w:rsid w:val="6DA265FA"/>
    <w:rsid w:val="6DBA21A1"/>
    <w:rsid w:val="6DDB516E"/>
    <w:rsid w:val="6E2C680B"/>
    <w:rsid w:val="6E7C32EF"/>
    <w:rsid w:val="6EB20ABF"/>
    <w:rsid w:val="6FB6638D"/>
    <w:rsid w:val="6FBE3493"/>
    <w:rsid w:val="70950698"/>
    <w:rsid w:val="709541F4"/>
    <w:rsid w:val="70AC59E2"/>
    <w:rsid w:val="713752AB"/>
    <w:rsid w:val="718524BB"/>
    <w:rsid w:val="71C31235"/>
    <w:rsid w:val="71E60A7F"/>
    <w:rsid w:val="725956F5"/>
    <w:rsid w:val="72EB27F1"/>
    <w:rsid w:val="73245D03"/>
    <w:rsid w:val="73731F46"/>
    <w:rsid w:val="73B2330F"/>
    <w:rsid w:val="74367A9C"/>
    <w:rsid w:val="743B3304"/>
    <w:rsid w:val="74604B19"/>
    <w:rsid w:val="757D171F"/>
    <w:rsid w:val="769D02A6"/>
    <w:rsid w:val="78AA0A59"/>
    <w:rsid w:val="78AF3D07"/>
    <w:rsid w:val="79B06543"/>
    <w:rsid w:val="7A537AA0"/>
    <w:rsid w:val="7AF5051C"/>
    <w:rsid w:val="7BBA680A"/>
    <w:rsid w:val="7BE826AE"/>
    <w:rsid w:val="7CAF2AE1"/>
    <w:rsid w:val="7CCF532E"/>
    <w:rsid w:val="7D0746CC"/>
    <w:rsid w:val="7D342FE7"/>
    <w:rsid w:val="7D3C49C8"/>
    <w:rsid w:val="7D480840"/>
    <w:rsid w:val="7E00338F"/>
    <w:rsid w:val="7F593B0D"/>
    <w:rsid w:val="7F9073FD"/>
    <w:rsid w:val="7F9B5070"/>
    <w:rsid w:val="7FB83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Plain Text"/>
    <w:basedOn w:val="1"/>
    <w:link w:val="48"/>
    <w:qFormat/>
    <w:uiPriority w:val="0"/>
    <w:pPr>
      <w:adjustRightInd/>
      <w:spacing w:line="240" w:lineRule="auto"/>
    </w:pPr>
    <w:rPr>
      <w:rFonts w:ascii="宋体" w:hAnsi="Courier New" w:eastAsia="Times New Roman" w:cstheme="minorBidi"/>
    </w:rPr>
  </w:style>
  <w:style w:type="paragraph" w:styleId="3">
    <w:name w:val="Balloon Text"/>
    <w:basedOn w:val="1"/>
    <w:link w:val="36"/>
    <w:semiHidden/>
    <w:unhideWhenUsed/>
    <w:qFormat/>
    <w:uiPriority w:val="0"/>
    <w:rPr>
      <w:sz w:val="18"/>
      <w:szCs w:val="18"/>
    </w:rPr>
  </w:style>
  <w:style w:type="paragraph" w:styleId="4">
    <w:name w:val="footer"/>
    <w:basedOn w:val="1"/>
    <w:link w:val="28"/>
    <w:qFormat/>
    <w:uiPriority w:val="99"/>
    <w:pPr>
      <w:tabs>
        <w:tab w:val="center" w:pos="4153"/>
        <w:tab w:val="right" w:pos="8306"/>
      </w:tabs>
      <w:snapToGrid w:val="0"/>
      <w:jc w:val="left"/>
    </w:pPr>
    <w:rPr>
      <w:sz w:val="18"/>
      <w:szCs w:val="18"/>
    </w:rPr>
  </w:style>
  <w:style w:type="paragraph" w:styleId="5">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rPr>
  </w:style>
  <w:style w:type="table" w:styleId="8">
    <w:name w:val="Table Grid"/>
    <w:basedOn w:val="7"/>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Hyperlink"/>
    <w:basedOn w:val="9"/>
    <w:unhideWhenUsed/>
    <w:qFormat/>
    <w:uiPriority w:val="99"/>
    <w:rPr>
      <w:color w:val="0000FF"/>
      <w:u w:val="single"/>
    </w:rPr>
  </w:style>
  <w:style w:type="paragraph" w:customStyle="1" w:styleId="11">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正文表标题"/>
    <w:next w:val="11"/>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3">
    <w:name w:val="正文图标题"/>
    <w:next w:val="1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其他发布日期"/>
    <w:basedOn w:val="1"/>
    <w:qFormat/>
    <w:uiPriority w:val="0"/>
    <w:pPr>
      <w:framePr w:w="3997" w:h="471" w:hRule="exact" w:vSpace="181" w:wrap="around" w:vAnchor="page" w:hAnchor="page" w:x="1419" w:y="14097" w:anchorLock="1"/>
      <w:widowControl/>
      <w:numPr>
        <w:ilvl w:val="0"/>
        <w:numId w:val="1"/>
      </w:numPr>
      <w:jc w:val="left"/>
    </w:pPr>
    <w:rPr>
      <w:rFonts w:eastAsia="黑体"/>
      <w:kern w:val="0"/>
      <w:sz w:val="28"/>
      <w:szCs w:val="20"/>
    </w:rPr>
  </w:style>
  <w:style w:type="paragraph" w:customStyle="1" w:styleId="15">
    <w:name w:val="一级条标题"/>
    <w:next w:val="1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16">
    <w:name w:val="章标题"/>
    <w:next w:val="1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17">
    <w:name w:val="二级条标题"/>
    <w:basedOn w:val="15"/>
    <w:next w:val="11"/>
    <w:qFormat/>
    <w:uiPriority w:val="0"/>
    <w:pPr>
      <w:numPr>
        <w:ilvl w:val="2"/>
      </w:numPr>
      <w:spacing w:before="50" w:after="50"/>
      <w:outlineLvl w:val="3"/>
    </w:pPr>
  </w:style>
  <w:style w:type="paragraph" w:customStyle="1" w:styleId="18">
    <w:name w:val="三级条标题"/>
    <w:basedOn w:val="17"/>
    <w:next w:val="11"/>
    <w:qFormat/>
    <w:uiPriority w:val="0"/>
    <w:pPr>
      <w:numPr>
        <w:ilvl w:val="3"/>
      </w:numPr>
      <w:outlineLvl w:val="4"/>
    </w:pPr>
  </w:style>
  <w:style w:type="paragraph" w:customStyle="1" w:styleId="19">
    <w:name w:val="四级条标题"/>
    <w:basedOn w:val="18"/>
    <w:next w:val="11"/>
    <w:qFormat/>
    <w:uiPriority w:val="0"/>
    <w:pPr>
      <w:numPr>
        <w:ilvl w:val="4"/>
      </w:numPr>
      <w:outlineLvl w:val="5"/>
    </w:pPr>
  </w:style>
  <w:style w:type="paragraph" w:customStyle="1" w:styleId="20">
    <w:name w:val="五级条标题"/>
    <w:basedOn w:val="19"/>
    <w:next w:val="11"/>
    <w:qFormat/>
    <w:uiPriority w:val="0"/>
    <w:pPr>
      <w:numPr>
        <w:ilvl w:val="5"/>
      </w:numPr>
      <w:outlineLvl w:val="6"/>
    </w:pPr>
  </w:style>
  <w:style w:type="paragraph" w:customStyle="1" w:styleId="21">
    <w:name w:val="注："/>
    <w:next w:val="11"/>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2">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23">
    <w:name w:val="附录图标题"/>
    <w:basedOn w:val="1"/>
    <w:next w:val="11"/>
    <w:qFormat/>
    <w:uiPriority w:val="0"/>
    <w:pPr>
      <w:numPr>
        <w:ilvl w:val="1"/>
        <w:numId w:val="4"/>
      </w:numPr>
      <w:tabs>
        <w:tab w:val="left" w:pos="363"/>
      </w:tabs>
      <w:spacing w:beforeLines="50" w:afterLines="50"/>
      <w:ind w:left="0" w:firstLine="0"/>
      <w:jc w:val="center"/>
    </w:pPr>
    <w:rPr>
      <w:rFonts w:ascii="黑体" w:eastAsia="黑体"/>
      <w:szCs w:val="21"/>
    </w:rPr>
  </w:style>
  <w:style w:type="paragraph" w:customStyle="1" w:styleId="24">
    <w:name w:val="注×：（正文）"/>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25">
    <w:name w:val="图表脚注说明"/>
    <w:basedOn w:val="1"/>
    <w:qFormat/>
    <w:uiPriority w:val="0"/>
    <w:pPr>
      <w:numPr>
        <w:ilvl w:val="0"/>
        <w:numId w:val="6"/>
      </w:numPr>
    </w:pPr>
    <w:rPr>
      <w:rFonts w:ascii="宋体"/>
      <w:sz w:val="18"/>
      <w:szCs w:val="18"/>
    </w:rPr>
  </w:style>
  <w:style w:type="character" w:customStyle="1" w:styleId="26">
    <w:name w:val="段 Char"/>
    <w:basedOn w:val="9"/>
    <w:link w:val="11"/>
    <w:qFormat/>
    <w:uiPriority w:val="0"/>
    <w:rPr>
      <w:rFonts w:ascii="宋体"/>
      <w:sz w:val="21"/>
      <w:lang w:val="en-US" w:eastAsia="zh-CN" w:bidi="ar-SA"/>
    </w:rPr>
  </w:style>
  <w:style w:type="character" w:customStyle="1" w:styleId="27">
    <w:name w:val="页眉 Char"/>
    <w:basedOn w:val="9"/>
    <w:link w:val="5"/>
    <w:qFormat/>
    <w:uiPriority w:val="0"/>
    <w:rPr>
      <w:kern w:val="2"/>
      <w:sz w:val="18"/>
      <w:szCs w:val="18"/>
    </w:rPr>
  </w:style>
  <w:style w:type="character" w:customStyle="1" w:styleId="28">
    <w:name w:val="页脚 Char"/>
    <w:basedOn w:val="9"/>
    <w:link w:val="4"/>
    <w:qFormat/>
    <w:uiPriority w:val="99"/>
    <w:rPr>
      <w:kern w:val="2"/>
      <w:sz w:val="18"/>
      <w:szCs w:val="18"/>
    </w:rPr>
  </w:style>
  <w:style w:type="paragraph" w:customStyle="1" w:styleId="29">
    <w:name w:val="附录表标题"/>
    <w:basedOn w:val="1"/>
    <w:next w:val="11"/>
    <w:qFormat/>
    <w:uiPriority w:val="0"/>
    <w:pPr>
      <w:numPr>
        <w:ilvl w:val="1"/>
        <w:numId w:val="7"/>
      </w:numPr>
      <w:tabs>
        <w:tab w:val="left" w:pos="180"/>
      </w:tabs>
      <w:spacing w:beforeLines="50" w:afterLines="50"/>
      <w:ind w:left="0" w:firstLine="0"/>
      <w:jc w:val="center"/>
    </w:pPr>
    <w:rPr>
      <w:rFonts w:ascii="黑体" w:eastAsia="黑体"/>
      <w:szCs w:val="21"/>
    </w:rPr>
  </w:style>
  <w:style w:type="paragraph" w:styleId="30">
    <w:name w:val="List Paragraph"/>
    <w:basedOn w:val="1"/>
    <w:unhideWhenUsed/>
    <w:qFormat/>
    <w:uiPriority w:val="34"/>
    <w:pPr>
      <w:ind w:firstLine="420"/>
    </w:pPr>
  </w:style>
  <w:style w:type="paragraph" w:customStyle="1" w:styleId="3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3">
    <w:name w:val="发布"/>
    <w:qFormat/>
    <w:uiPriority w:val="0"/>
    <w:rPr>
      <w:rFonts w:ascii="黑体" w:eastAsia="黑体"/>
      <w:spacing w:val="22"/>
      <w:w w:val="100"/>
      <w:position w:val="3"/>
      <w:sz w:val="28"/>
    </w:rPr>
  </w:style>
  <w:style w:type="paragraph" w:customStyle="1" w:styleId="34">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6">
    <w:name w:val="批注框文本 Char"/>
    <w:basedOn w:val="9"/>
    <w:link w:val="3"/>
    <w:semiHidden/>
    <w:qFormat/>
    <w:uiPriority w:val="0"/>
    <w:rPr>
      <w:rFonts w:ascii="Times New Roman" w:hAnsi="Times New Roman"/>
      <w:kern w:val="2"/>
      <w:sz w:val="18"/>
      <w:szCs w:val="18"/>
    </w:rPr>
  </w:style>
  <w:style w:type="paragraph" w:customStyle="1" w:styleId="37">
    <w:name w:val="标准文件_章标题"/>
    <w:next w:val="35"/>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8">
    <w:name w:val="标准文件_一级无标题"/>
    <w:basedOn w:val="39"/>
    <w:qFormat/>
    <w:uiPriority w:val="0"/>
    <w:pPr>
      <w:spacing w:beforeLines="0" w:afterLines="0"/>
      <w:outlineLvl w:val="9"/>
    </w:pPr>
    <w:rPr>
      <w:rFonts w:ascii="宋体" w:eastAsia="宋体"/>
    </w:rPr>
  </w:style>
  <w:style w:type="paragraph" w:customStyle="1" w:styleId="39">
    <w:name w:val="标准文件_一级条标题"/>
    <w:basedOn w:val="37"/>
    <w:next w:val="35"/>
    <w:qFormat/>
    <w:uiPriority w:val="0"/>
    <w:pPr>
      <w:numPr>
        <w:ilvl w:val="2"/>
      </w:numPr>
      <w:spacing w:beforeLines="50" w:afterLines="50"/>
      <w:outlineLvl w:val="1"/>
    </w:pPr>
  </w:style>
  <w:style w:type="paragraph" w:customStyle="1" w:styleId="40">
    <w:name w:val="标准文件_正文公式"/>
    <w:basedOn w:val="1"/>
    <w:next w:val="41"/>
    <w:qFormat/>
    <w:uiPriority w:val="0"/>
    <w:pPr>
      <w:tabs>
        <w:tab w:val="center" w:pos="4678"/>
        <w:tab w:val="right" w:leader="middleDot" w:pos="9356"/>
      </w:tabs>
    </w:pPr>
    <w:rPr>
      <w:rFonts w:ascii="宋体" w:hAnsi="宋体"/>
    </w:rPr>
  </w:style>
  <w:style w:type="paragraph" w:customStyle="1" w:styleId="41">
    <w:name w:val="标准文件_标准正文"/>
    <w:basedOn w:val="1"/>
    <w:next w:val="35"/>
    <w:qFormat/>
    <w:uiPriority w:val="0"/>
    <w:pPr>
      <w:snapToGrid w:val="0"/>
      <w:ind w:firstLine="200"/>
    </w:pPr>
    <w:rPr>
      <w:kern w:val="0"/>
    </w:rPr>
  </w:style>
  <w:style w:type="paragraph" w:customStyle="1" w:styleId="42">
    <w:name w:val="标准文件_正文表标题"/>
    <w:next w:val="35"/>
    <w:qFormat/>
    <w:uiPriority w:val="0"/>
    <w:pPr>
      <w:numPr>
        <w:ilvl w:val="0"/>
        <w:numId w:val="9"/>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43">
    <w:name w:val="标准文件_表格"/>
    <w:basedOn w:val="35"/>
    <w:qFormat/>
    <w:uiPriority w:val="0"/>
    <w:pPr>
      <w:ind w:firstLine="0" w:firstLineChars="0"/>
      <w:jc w:val="center"/>
    </w:pPr>
    <w:rPr>
      <w:sz w:val="18"/>
    </w:rPr>
  </w:style>
  <w:style w:type="paragraph" w:customStyle="1" w:styleId="44">
    <w:name w:val="标准文件_一级项"/>
    <w:qFormat/>
    <w:uiPriority w:val="0"/>
    <w:pPr>
      <w:numPr>
        <w:ilvl w:val="0"/>
        <w:numId w:val="10"/>
      </w:numPr>
    </w:pPr>
    <w:rPr>
      <w:rFonts w:ascii="宋体" w:hAnsi="Times New Roman" w:eastAsia="宋体" w:cs="Times New Roman"/>
      <w:sz w:val="21"/>
      <w:lang w:val="en-US" w:eastAsia="zh-CN" w:bidi="ar-SA"/>
    </w:rPr>
  </w:style>
  <w:style w:type="paragraph" w:customStyle="1" w:styleId="45">
    <w:name w:val="标准文件_二级无标题"/>
    <w:basedOn w:val="46"/>
    <w:qFormat/>
    <w:uiPriority w:val="0"/>
    <w:pPr>
      <w:spacing w:before="0" w:beforeLines="0" w:after="0" w:afterLines="0"/>
      <w:outlineLvl w:val="9"/>
    </w:pPr>
    <w:rPr>
      <w:rFonts w:ascii="宋体" w:eastAsia="宋体"/>
    </w:rPr>
  </w:style>
  <w:style w:type="paragraph" w:customStyle="1" w:styleId="46">
    <w:name w:val="标准文件_二级条标题"/>
    <w:next w:val="35"/>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47">
    <w:name w:val="标准文件_图表脚注"/>
    <w:basedOn w:val="1"/>
    <w:next w:val="35"/>
    <w:qFormat/>
    <w:uiPriority w:val="0"/>
    <w:pPr>
      <w:numPr>
        <w:ilvl w:val="0"/>
        <w:numId w:val="11"/>
      </w:numPr>
      <w:spacing w:line="240" w:lineRule="auto"/>
      <w:jc w:val="left"/>
    </w:pPr>
    <w:rPr>
      <w:rFonts w:ascii="宋体" w:hAnsi="宋体"/>
      <w:sz w:val="18"/>
    </w:rPr>
  </w:style>
  <w:style w:type="character" w:customStyle="1" w:styleId="48">
    <w:name w:val="纯文本 字符"/>
    <w:basedOn w:val="9"/>
    <w:link w:val="2"/>
    <w:qFormat/>
    <w:uiPriority w:val="0"/>
    <w:rPr>
      <w:rFonts w:hint="eastAsia" w:ascii="宋体" w:hAnsi="Courier New" w:eastAsia="Times New Roman" w:cs="Times New Roman"/>
      <w:kern w:val="2"/>
      <w:sz w:val="21"/>
      <w:szCs w:val="21"/>
    </w:rPr>
  </w:style>
  <w:style w:type="character" w:customStyle="1" w:styleId="49">
    <w:name w:val="font0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25</Pages>
  <Words>11005</Words>
  <Characters>13770</Characters>
  <Lines>48</Lines>
  <Paragraphs>13</Paragraphs>
  <TotalTime>7</TotalTime>
  <ScaleCrop>false</ScaleCrop>
  <LinksUpToDate>false</LinksUpToDate>
  <CharactersWithSpaces>14020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河中鱼</cp:lastModifiedBy>
  <cp:lastPrinted>2019-07-10T11:21:00Z</cp:lastPrinted>
  <dcterms:modified xsi:type="dcterms:W3CDTF">2026-05-25T10:44:21Z</dcterms:modified>
  <dc:title>广西地方标准《脱氢枞酸》（征求意见稿）</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026CF76227104E619FBD98A8FEEC3623_13</vt:lpwstr>
  </property>
  <property fmtid="{D5CDD505-2E9C-101B-9397-08002B2CF9AE}" pid="4" name="KSOTemplateDocerSaveRecord">
    <vt:lpwstr>eyJoZGlkIjoiYWU5ODIyNDQzMTFlYmNiMzlhMmFkNjExNWM2YjM4YTYiLCJ1c2VySWQiOiIxNjgzMDY0NzMzIn0=</vt:lpwstr>
  </property>
</Properties>
</file>